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65EAA" w14:textId="77777777" w:rsidR="00303905" w:rsidRPr="004A2E21" w:rsidRDefault="00303905" w:rsidP="00303905">
      <w:pPr>
        <w:spacing w:after="0"/>
        <w:jc w:val="center"/>
        <w:rPr>
          <w:rFonts w:cs="Calibri"/>
          <w:lang w:val="es-MX"/>
        </w:rPr>
      </w:pPr>
      <w:bookmarkStart w:id="0" w:name="_Hlk196759661"/>
      <w:r w:rsidRPr="004A2E21">
        <w:rPr>
          <w:rFonts w:eastAsia="Times New Roman" w:cs="Calibri"/>
          <w:color w:val="1C75BC"/>
          <w:sz w:val="36"/>
          <w:szCs w:val="36"/>
          <w:lang w:val="es-MX" w:eastAsia="en-GB"/>
        </w:rPr>
        <w:t>Metadatos de Indicador ODS</w:t>
      </w:r>
    </w:p>
    <w:bookmarkEnd w:id="0"/>
    <w:p w14:paraId="129054E9" w14:textId="18C41E8C" w:rsidR="006C4BFD" w:rsidRPr="00303905" w:rsidRDefault="002C2510" w:rsidP="006C4BFD">
      <w:pPr>
        <w:spacing w:after="0"/>
        <w:jc w:val="center"/>
        <w:rPr>
          <w:rFonts w:eastAsia="Times New Roman" w:cs="Calibri"/>
          <w:b/>
          <w:bCs/>
          <w:color w:val="4A4A4A"/>
          <w:sz w:val="21"/>
          <w:szCs w:val="21"/>
          <w:lang w:val="es-MX" w:eastAsia="en-GB"/>
        </w:rPr>
      </w:pPr>
      <w:r w:rsidRPr="00303905">
        <w:rPr>
          <w:rFonts w:eastAsia="Times New Roman" w:cs="Calibri"/>
          <w:b/>
          <w:bCs/>
          <w:color w:val="4A4A4A"/>
          <w:sz w:val="21"/>
          <w:szCs w:val="21"/>
          <w:lang w:val="es-MX" w:eastAsia="en-GB"/>
        </w:rPr>
        <w:t>(</w:t>
      </w:r>
      <w:bookmarkStart w:id="1" w:name="_Hlk196759673"/>
      <w:r w:rsidR="00303905" w:rsidRPr="004A2E21">
        <w:rPr>
          <w:rFonts w:eastAsia="Times New Roman" w:cs="Calibri"/>
          <w:b/>
          <w:bCs/>
          <w:color w:val="4A4A4A"/>
          <w:sz w:val="21"/>
          <w:szCs w:val="21"/>
          <w:lang w:val="es-MX" w:eastAsia="en-GB"/>
        </w:rPr>
        <w:t>Plantilla armonizada de metadatos – formato versión 1.1</w:t>
      </w:r>
      <w:bookmarkEnd w:id="1"/>
      <w:r w:rsidRPr="00303905">
        <w:rPr>
          <w:rFonts w:eastAsia="Times New Roman" w:cs="Calibri"/>
          <w:b/>
          <w:bCs/>
          <w:color w:val="4A4A4A"/>
          <w:sz w:val="21"/>
          <w:szCs w:val="21"/>
          <w:lang w:val="es-MX" w:eastAsia="en-GB"/>
        </w:rPr>
        <w:t>)</w:t>
      </w:r>
    </w:p>
    <w:p w14:paraId="773F63CF" w14:textId="77777777" w:rsidR="006C4BFD" w:rsidRPr="00303905" w:rsidRDefault="006C4BFD" w:rsidP="006C4BFD">
      <w:pPr>
        <w:spacing w:after="0"/>
        <w:rPr>
          <w:rFonts w:eastAsia="Times New Roman" w:cs="Times New Roman"/>
          <w:b/>
          <w:bCs/>
          <w:color w:val="4A4A4A"/>
          <w:sz w:val="21"/>
          <w:szCs w:val="21"/>
          <w:lang w:val="es-MX" w:eastAsia="en-GB"/>
        </w:rPr>
      </w:pPr>
    </w:p>
    <w:p w14:paraId="6AEAC6DA" w14:textId="06B65065" w:rsidR="00B31E2C" w:rsidRPr="00303905" w:rsidRDefault="00B31E2C" w:rsidP="00EA05D3">
      <w:pPr>
        <w:pStyle w:val="MIndHeader2"/>
        <w:rPr>
          <w:lang w:val="es-MX"/>
        </w:rPr>
      </w:pPr>
      <w:r w:rsidRPr="00303905">
        <w:rPr>
          <w:lang w:val="es-MX"/>
        </w:rPr>
        <w:t xml:space="preserve">0. </w:t>
      </w:r>
      <w:r w:rsidR="00303905" w:rsidRPr="004A2E21">
        <w:rPr>
          <w:lang w:val="es-MX"/>
        </w:rPr>
        <w:t>Información de Indicador</w:t>
      </w:r>
      <w:r w:rsidR="00303905" w:rsidRPr="00303905">
        <w:rPr>
          <w:color w:val="B4B4B4"/>
          <w:sz w:val="20"/>
          <w:lang w:val="es-MX"/>
        </w:rPr>
        <w:t xml:space="preserve"> </w:t>
      </w:r>
      <w:r w:rsidRPr="00303905">
        <w:rPr>
          <w:color w:val="B4B4B4"/>
          <w:sz w:val="20"/>
          <w:lang w:val="es-MX"/>
        </w:rPr>
        <w:t>(SDG_INDICATOR_INFO)</w:t>
      </w:r>
    </w:p>
    <w:p w14:paraId="043ED752" w14:textId="2C6FE78E" w:rsidR="00D24330" w:rsidRPr="00303905" w:rsidRDefault="00D24330" w:rsidP="00EA05D3">
      <w:pPr>
        <w:pStyle w:val="MIndHeader"/>
        <w:rPr>
          <w:lang w:val="es-MX"/>
        </w:rPr>
      </w:pPr>
      <w:r w:rsidRPr="00303905">
        <w:rPr>
          <w:lang w:val="es-MX"/>
        </w:rPr>
        <w:t xml:space="preserve">0.a. </w:t>
      </w:r>
      <w:bookmarkStart w:id="2" w:name="_Hlk196759687"/>
      <w:r w:rsidR="00303905" w:rsidRPr="00F36079">
        <w:rPr>
          <w:lang w:val="es-MX"/>
        </w:rPr>
        <w:t>Objetivo</w:t>
      </w:r>
      <w:bookmarkEnd w:id="2"/>
      <w:r w:rsidRPr="00303905">
        <w:rPr>
          <w:lang w:val="es-MX"/>
        </w:rPr>
        <w:t xml:space="preserve"> </w:t>
      </w:r>
      <w:r w:rsidRPr="00303905">
        <w:rPr>
          <w:color w:val="B4B4B4"/>
          <w:sz w:val="20"/>
          <w:lang w:val="es-MX"/>
        </w:rPr>
        <w:t>(SDG_GOAL)</w:t>
      </w:r>
    </w:p>
    <w:p w14:paraId="31055AE7" w14:textId="38414309" w:rsidR="00D34340" w:rsidRPr="00303905" w:rsidRDefault="00303905" w:rsidP="002F5F0C">
      <w:pPr>
        <w:pStyle w:val="MGTHeader"/>
        <w:rPr>
          <w:lang w:val="es-MX"/>
        </w:rPr>
      </w:pPr>
      <w:r>
        <w:rPr>
          <w:lang w:val="es-MX"/>
        </w:rPr>
        <w:t>Objetivo</w:t>
      </w:r>
      <w:r w:rsidR="00D34340" w:rsidRPr="00303905">
        <w:rPr>
          <w:lang w:val="es-MX"/>
        </w:rPr>
        <w:t xml:space="preserve"> 16: </w:t>
      </w:r>
      <w:bookmarkStart w:id="3" w:name="_Hlk196754486"/>
      <w:bookmarkStart w:id="4" w:name="_Hlk196760067"/>
      <w:r w:rsidRPr="004A2E21">
        <w:rPr>
          <w:lang w:val="es-MX"/>
        </w:rPr>
        <w:t>Promover sociedades pacíficas e inclusivas para el desarrollo sostenible, facilitar el acceso a la justicia para todos y construir a todos los niveles instituciones eficaces e inclusivas que rindan cuentas</w:t>
      </w:r>
      <w:r>
        <w:rPr>
          <w:lang w:val="es-MX"/>
        </w:rPr>
        <w:t xml:space="preserve"> en todos los niveles. </w:t>
      </w:r>
      <w:bookmarkEnd w:id="3"/>
      <w:bookmarkEnd w:id="4"/>
    </w:p>
    <w:p w14:paraId="084142D2" w14:textId="2616BB91" w:rsidR="00D24330" w:rsidRPr="00222E7A" w:rsidRDefault="00D24330" w:rsidP="00D24330">
      <w:pPr>
        <w:pStyle w:val="MIndHeader"/>
        <w:rPr>
          <w:lang w:val="es-MX"/>
        </w:rPr>
      </w:pPr>
      <w:r w:rsidRPr="00222E7A">
        <w:rPr>
          <w:lang w:val="es-MX"/>
        </w:rPr>
        <w:t xml:space="preserve">0.b. </w:t>
      </w:r>
      <w:bookmarkStart w:id="5" w:name="_Hlk196759694"/>
      <w:r w:rsidR="00303905" w:rsidRPr="00222E7A">
        <w:rPr>
          <w:lang w:val="es-MX"/>
        </w:rPr>
        <w:t>Meta</w:t>
      </w:r>
      <w:bookmarkEnd w:id="5"/>
      <w:r w:rsidRPr="00222E7A">
        <w:rPr>
          <w:lang w:val="es-MX"/>
        </w:rPr>
        <w:t xml:space="preserve"> </w:t>
      </w:r>
      <w:r w:rsidRPr="00222E7A">
        <w:rPr>
          <w:color w:val="B4B4B4"/>
          <w:sz w:val="20"/>
          <w:lang w:val="es-MX"/>
        </w:rPr>
        <w:t>(SDG_TARGET)</w:t>
      </w:r>
    </w:p>
    <w:p w14:paraId="4986C2A2" w14:textId="62D1559D" w:rsidR="00D34340" w:rsidRPr="00303905" w:rsidRDefault="00303905" w:rsidP="00D24330">
      <w:pPr>
        <w:pStyle w:val="MGTHeader"/>
        <w:rPr>
          <w:lang w:val="es-MX"/>
        </w:rPr>
      </w:pPr>
      <w:r w:rsidRPr="00303905">
        <w:rPr>
          <w:lang w:val="es-MX"/>
        </w:rPr>
        <w:t>Meta</w:t>
      </w:r>
      <w:r w:rsidR="00D34340" w:rsidRPr="00303905">
        <w:rPr>
          <w:lang w:val="es-MX"/>
        </w:rPr>
        <w:t xml:space="preserve"> 16.5: </w:t>
      </w:r>
      <w:r w:rsidRPr="00303905">
        <w:rPr>
          <w:lang w:val="es-MX"/>
        </w:rPr>
        <w:t>Reducir sustancialmente la corrupción y el soborno en todas sus formas.</w:t>
      </w:r>
    </w:p>
    <w:p w14:paraId="3E67E7E0" w14:textId="623645D3" w:rsidR="00D24330" w:rsidRPr="00303905" w:rsidRDefault="00D24330" w:rsidP="00D24330">
      <w:pPr>
        <w:pStyle w:val="MIndHeader"/>
        <w:rPr>
          <w:lang w:val="es-MX"/>
        </w:rPr>
      </w:pPr>
      <w:r w:rsidRPr="00303905">
        <w:rPr>
          <w:lang w:val="es-MX"/>
        </w:rPr>
        <w:t>0.c. Indica</w:t>
      </w:r>
      <w:r w:rsidR="00303905" w:rsidRPr="00303905">
        <w:rPr>
          <w:lang w:val="es-MX"/>
        </w:rPr>
        <w:t>d</w:t>
      </w:r>
      <w:r w:rsidRPr="00303905">
        <w:rPr>
          <w:lang w:val="es-MX"/>
        </w:rPr>
        <w:t xml:space="preserve">or </w:t>
      </w:r>
      <w:r w:rsidRPr="00303905">
        <w:rPr>
          <w:color w:val="B4B4B4"/>
          <w:sz w:val="20"/>
          <w:lang w:val="es-MX"/>
        </w:rPr>
        <w:t>(SDG_INDICATOR)</w:t>
      </w:r>
    </w:p>
    <w:p w14:paraId="014BF7E8" w14:textId="77777777" w:rsidR="00303905" w:rsidRPr="00303905" w:rsidRDefault="00D34340" w:rsidP="00303905">
      <w:pPr>
        <w:pStyle w:val="MGTHeader"/>
        <w:rPr>
          <w:lang w:val="es-MX"/>
        </w:rPr>
      </w:pPr>
      <w:r w:rsidRPr="00303905">
        <w:rPr>
          <w:lang w:val="es-MX"/>
        </w:rPr>
        <w:t>Indica</w:t>
      </w:r>
      <w:r w:rsidR="00303905" w:rsidRPr="00303905">
        <w:rPr>
          <w:lang w:val="es-MX"/>
        </w:rPr>
        <w:t>d</w:t>
      </w:r>
      <w:r w:rsidRPr="00303905">
        <w:rPr>
          <w:lang w:val="es-MX"/>
        </w:rPr>
        <w:t xml:space="preserve">or 16.5.1: </w:t>
      </w:r>
      <w:r w:rsidR="00303905" w:rsidRPr="00303905">
        <w:rPr>
          <w:lang w:val="es-MX"/>
        </w:rPr>
        <w:t>Proporción de personas que tuvieron al menos un contacto con un funcionario público y que pagaron un soborno a un funcionario público, o a quienes esos funcionarios públicos les pidieron un soborno, durante los 12 meses anteriores.</w:t>
      </w:r>
    </w:p>
    <w:p w14:paraId="37E5E4F6" w14:textId="57218B5D" w:rsidR="00D24330" w:rsidRPr="00303905" w:rsidRDefault="00D24330" w:rsidP="00D24330">
      <w:pPr>
        <w:pStyle w:val="MIndHeader"/>
        <w:rPr>
          <w:lang w:val="es-MX"/>
        </w:rPr>
      </w:pPr>
      <w:r w:rsidRPr="00303905">
        <w:rPr>
          <w:lang w:val="es-MX"/>
        </w:rPr>
        <w:t xml:space="preserve">0.d. Serie </w:t>
      </w:r>
      <w:r w:rsidRPr="00303905">
        <w:rPr>
          <w:color w:val="B4B4B4"/>
          <w:sz w:val="20"/>
          <w:lang w:val="es-MX"/>
        </w:rPr>
        <w:t>(SDG_SERIES_DESCR)</w:t>
      </w:r>
    </w:p>
    <w:p w14:paraId="771888BA" w14:textId="38344CD3" w:rsidR="00D24330" w:rsidRPr="00303905" w:rsidRDefault="009F2A73" w:rsidP="00D24330">
      <w:pPr>
        <w:pStyle w:val="MGTHeader"/>
        <w:rPr>
          <w:lang w:val="es-MX"/>
        </w:rPr>
      </w:pPr>
      <w:r w:rsidRPr="00303905">
        <w:rPr>
          <w:lang w:val="es-MX"/>
        </w:rPr>
        <w:t xml:space="preserve">IU_COR_BRIB - </w:t>
      </w:r>
      <w:r w:rsidR="00303905" w:rsidRPr="00303905">
        <w:rPr>
          <w:lang w:val="es-MX"/>
        </w:rPr>
        <w:t xml:space="preserve">Tasa de prevalencia del soborno </w:t>
      </w:r>
      <w:r w:rsidRPr="00303905">
        <w:rPr>
          <w:lang w:val="es-MX"/>
        </w:rPr>
        <w:t>[16.5.1]</w:t>
      </w:r>
    </w:p>
    <w:p w14:paraId="157DACE7" w14:textId="257C48CB" w:rsidR="00D24330" w:rsidRPr="00303905" w:rsidRDefault="00D24330" w:rsidP="00D24330">
      <w:pPr>
        <w:pStyle w:val="MIndHeader"/>
        <w:rPr>
          <w:lang w:val="es-MX"/>
        </w:rPr>
      </w:pPr>
      <w:r w:rsidRPr="00303905">
        <w:rPr>
          <w:lang w:val="es-MX"/>
        </w:rPr>
        <w:t xml:space="preserve">0.e. </w:t>
      </w:r>
      <w:bookmarkStart w:id="6" w:name="_Hlk196759711"/>
      <w:r w:rsidR="00303905" w:rsidRPr="004A2E21">
        <w:rPr>
          <w:lang w:val="es-MX"/>
        </w:rPr>
        <w:t>Actualización de metadatos</w:t>
      </w:r>
      <w:bookmarkEnd w:id="6"/>
      <w:r w:rsidR="00303905" w:rsidRPr="004A2E21">
        <w:rPr>
          <w:lang w:val="es-MX"/>
        </w:rPr>
        <w:t xml:space="preserve"> </w:t>
      </w:r>
      <w:r w:rsidRPr="00303905">
        <w:rPr>
          <w:color w:val="B4B4B4"/>
          <w:sz w:val="20"/>
          <w:lang w:val="es-MX"/>
        </w:rPr>
        <w:t>(META_LAST_UPDATE)</w:t>
      </w:r>
    </w:p>
    <w:sdt>
      <w:sdtPr>
        <w:rPr>
          <w:lang w:val="es-MX"/>
        </w:rPr>
        <w:id w:val="-771396115"/>
        <w:placeholder>
          <w:docPart w:val="08148BC9603040E2AB79D98BD5DC727D"/>
        </w:placeholder>
        <w:date w:fullDate="2024-07-29T00:00:00Z">
          <w:dateFormat w:val="yyyy-MM-dd"/>
          <w:lid w:val="en-US"/>
          <w:storeMappedDataAs w:val="dateTime"/>
          <w:calendar w:val="gregorian"/>
        </w:date>
      </w:sdtPr>
      <w:sdtEndPr/>
      <w:sdtContent>
        <w:p w14:paraId="35C616A7" w14:textId="75DD8454" w:rsidR="00CA60F2" w:rsidRPr="00222E7A" w:rsidRDefault="00667C95" w:rsidP="00B00A29">
          <w:pPr>
            <w:pStyle w:val="MGTHeader"/>
            <w:rPr>
              <w:lang w:val="es-MX"/>
            </w:rPr>
          </w:pPr>
          <w:r w:rsidRPr="00222E7A">
            <w:rPr>
              <w:lang w:val="es-MX"/>
            </w:rPr>
            <w:t>2024-07-29</w:t>
          </w:r>
        </w:p>
      </w:sdtContent>
    </w:sdt>
    <w:p w14:paraId="415C9FF1" w14:textId="61EA25B5" w:rsidR="00D24330" w:rsidRPr="00303905" w:rsidRDefault="00D24330" w:rsidP="00D24330">
      <w:pPr>
        <w:pStyle w:val="MIndHeader"/>
        <w:rPr>
          <w:lang w:val="es-MX"/>
        </w:rPr>
      </w:pPr>
      <w:r w:rsidRPr="00303905">
        <w:rPr>
          <w:lang w:val="es-MX"/>
        </w:rPr>
        <w:t xml:space="preserve">0.f. </w:t>
      </w:r>
      <w:bookmarkStart w:id="7" w:name="_Hlk196759719"/>
      <w:r w:rsidR="00303905" w:rsidRPr="004A2E21">
        <w:rPr>
          <w:lang w:val="es-MX"/>
        </w:rPr>
        <w:t>Indicadores relacionados</w:t>
      </w:r>
      <w:bookmarkEnd w:id="7"/>
      <w:r w:rsidR="00303905" w:rsidRPr="004A2E21">
        <w:rPr>
          <w:lang w:val="es-MX"/>
        </w:rPr>
        <w:t xml:space="preserve"> </w:t>
      </w:r>
      <w:r w:rsidRPr="00303905">
        <w:rPr>
          <w:color w:val="B4B4B4"/>
          <w:sz w:val="20"/>
          <w:lang w:val="es-MX"/>
        </w:rPr>
        <w:t>(SDG_RELATED_INDICATORS)</w:t>
      </w:r>
    </w:p>
    <w:p w14:paraId="5F908B09" w14:textId="77777777" w:rsidR="00303905" w:rsidRPr="00303905" w:rsidRDefault="007A1528" w:rsidP="00303905">
      <w:pPr>
        <w:pStyle w:val="MGTHeader"/>
        <w:rPr>
          <w:lang w:val="es-MX"/>
        </w:rPr>
      </w:pPr>
      <w:r w:rsidRPr="00303905">
        <w:rPr>
          <w:lang w:val="es-MX"/>
        </w:rPr>
        <w:t>Indica</w:t>
      </w:r>
      <w:r w:rsidR="00303905" w:rsidRPr="00303905">
        <w:rPr>
          <w:lang w:val="es-MX"/>
        </w:rPr>
        <w:t>d</w:t>
      </w:r>
      <w:r w:rsidRPr="00303905">
        <w:rPr>
          <w:lang w:val="es-MX"/>
        </w:rPr>
        <w:t xml:space="preserve">or 16.5.2: </w:t>
      </w:r>
      <w:r w:rsidR="00303905" w:rsidRPr="00303905">
        <w:rPr>
          <w:lang w:val="es-MX"/>
        </w:rPr>
        <w:t>Proporción de empresas que tuvieron al menos un contacto con un funcionario público y que pagaron un soborno a un funcionario público, o a quienes se les solicitó un soborno por parte de dichos funcionarios públicos durante los 12 meses anteriores.</w:t>
      </w:r>
    </w:p>
    <w:p w14:paraId="1AD51D90" w14:textId="5B275785" w:rsidR="007A1528" w:rsidRPr="00303905" w:rsidRDefault="00254CD6" w:rsidP="00D24330">
      <w:pPr>
        <w:pStyle w:val="MGTHeader"/>
        <w:rPr>
          <w:lang w:val="es-MX"/>
        </w:rPr>
      </w:pPr>
      <w:r w:rsidRPr="00303905">
        <w:rPr>
          <w:lang w:val="es-MX"/>
        </w:rPr>
        <w:t>Indica</w:t>
      </w:r>
      <w:r w:rsidR="00303905" w:rsidRPr="00303905">
        <w:rPr>
          <w:lang w:val="es-MX"/>
        </w:rPr>
        <w:t>d</w:t>
      </w:r>
      <w:r w:rsidRPr="00303905">
        <w:rPr>
          <w:lang w:val="es-MX"/>
        </w:rPr>
        <w:t xml:space="preserve">or 16.4.1: </w:t>
      </w:r>
      <w:r w:rsidR="00303905" w:rsidRPr="00303905">
        <w:rPr>
          <w:lang w:val="es-MX"/>
        </w:rPr>
        <w:t>Valor total de los flujos financieros ilícitos entrantes y salientes (en dólares estadounidenses corrientes)</w:t>
      </w:r>
    </w:p>
    <w:p w14:paraId="077BC49E" w14:textId="32E812CA" w:rsidR="00D24330" w:rsidRPr="00303905" w:rsidRDefault="00D24330" w:rsidP="00D24330">
      <w:pPr>
        <w:pStyle w:val="MIndHeader"/>
        <w:rPr>
          <w:lang w:val="es-MX"/>
        </w:rPr>
      </w:pPr>
      <w:r w:rsidRPr="00303905">
        <w:rPr>
          <w:lang w:val="es-MX"/>
        </w:rPr>
        <w:t xml:space="preserve">0.g. </w:t>
      </w:r>
      <w:bookmarkStart w:id="8" w:name="_Hlk196759729"/>
      <w:r w:rsidR="00303905">
        <w:rPr>
          <w:lang w:val="es-MX"/>
        </w:rPr>
        <w:t>Organización (</w:t>
      </w:r>
      <w:r w:rsidR="00303905" w:rsidRPr="004A2E21">
        <w:rPr>
          <w:lang w:val="es-MX"/>
        </w:rPr>
        <w:t>es</w:t>
      </w:r>
      <w:r w:rsidR="00303905">
        <w:rPr>
          <w:lang w:val="es-MX"/>
        </w:rPr>
        <w:t>)</w:t>
      </w:r>
      <w:r w:rsidR="00303905" w:rsidRPr="004A2E21">
        <w:rPr>
          <w:lang w:val="es-MX"/>
        </w:rPr>
        <w:t xml:space="preserve"> Internacional</w:t>
      </w:r>
      <w:r w:rsidR="00303905">
        <w:rPr>
          <w:lang w:val="es-MX"/>
        </w:rPr>
        <w:t xml:space="preserve"> (</w:t>
      </w:r>
      <w:r w:rsidR="00303905" w:rsidRPr="004A2E21">
        <w:rPr>
          <w:lang w:val="es-MX"/>
        </w:rPr>
        <w:t>es</w:t>
      </w:r>
      <w:r w:rsidR="00303905">
        <w:rPr>
          <w:lang w:val="es-MX"/>
        </w:rPr>
        <w:t>)</w:t>
      </w:r>
      <w:r w:rsidR="00303905" w:rsidRPr="004A2E21">
        <w:rPr>
          <w:lang w:val="es-MX"/>
        </w:rPr>
        <w:t xml:space="preserve"> responsabl</w:t>
      </w:r>
      <w:r w:rsidR="00303905">
        <w:rPr>
          <w:lang w:val="es-MX"/>
        </w:rPr>
        <w:t>e (es) del monitoreo mundial</w:t>
      </w:r>
      <w:bookmarkEnd w:id="8"/>
      <w:r w:rsidR="00303905" w:rsidRPr="004A2E21">
        <w:rPr>
          <w:lang w:val="es-MX"/>
        </w:rPr>
        <w:t xml:space="preserve"> </w:t>
      </w:r>
      <w:r w:rsidRPr="00303905">
        <w:rPr>
          <w:color w:val="B4B4B4"/>
          <w:sz w:val="20"/>
          <w:lang w:val="es-MX"/>
        </w:rPr>
        <w:t>(SDG_CUSTODIAN_AGENCIES)</w:t>
      </w:r>
    </w:p>
    <w:p w14:paraId="559188DD" w14:textId="5CCBAB1B" w:rsidR="00D34340" w:rsidRPr="00303905" w:rsidRDefault="00303905" w:rsidP="00610DBB">
      <w:pPr>
        <w:pStyle w:val="MGTHeader"/>
        <w:rPr>
          <w:lang w:val="es-MX"/>
        </w:rPr>
      </w:pPr>
      <w:r w:rsidRPr="004A2E21">
        <w:rPr>
          <w:lang w:val="es-MX"/>
        </w:rPr>
        <w:t>Oficina de Naciones Unidas contra la Droga y el Delito</w:t>
      </w:r>
      <w:r>
        <w:rPr>
          <w:lang w:val="es-MX"/>
        </w:rPr>
        <w:t xml:space="preserve"> </w:t>
      </w:r>
      <w:r w:rsidR="00D34340" w:rsidRPr="00303905">
        <w:rPr>
          <w:lang w:val="es-MX"/>
        </w:rPr>
        <w:t>(UNODC)</w:t>
      </w:r>
    </w:p>
    <w:p w14:paraId="19F29921" w14:textId="77777777" w:rsidR="008D1D39" w:rsidRPr="00303905" w:rsidRDefault="008D1D39" w:rsidP="00610DBB">
      <w:pPr>
        <w:shd w:val="clear" w:color="auto" w:fill="FFFFFF"/>
        <w:spacing w:after="0"/>
        <w:rPr>
          <w:lang w:val="es-MX"/>
        </w:rPr>
      </w:pPr>
    </w:p>
    <w:p w14:paraId="12E0D73A" w14:textId="7BA89962" w:rsidR="00B31E2C" w:rsidRPr="00303905" w:rsidRDefault="00B31E2C" w:rsidP="00EA05D3">
      <w:pPr>
        <w:pStyle w:val="MHeader"/>
        <w:rPr>
          <w:lang w:val="es-MX"/>
        </w:rPr>
      </w:pPr>
      <w:bookmarkStart w:id="9" w:name="_Toc37932744"/>
      <w:bookmarkStart w:id="10" w:name="_Toc36813072"/>
      <w:bookmarkStart w:id="11" w:name="_Toc36812685"/>
      <w:bookmarkStart w:id="12" w:name="_Toc36812572"/>
      <w:bookmarkStart w:id="13" w:name="_Toc36655609"/>
      <w:r w:rsidRPr="00303905">
        <w:rPr>
          <w:lang w:val="es-MX"/>
        </w:rPr>
        <w:t xml:space="preserve">1. </w:t>
      </w:r>
      <w:bookmarkStart w:id="14" w:name="_Hlk196759738"/>
      <w:bookmarkEnd w:id="9"/>
      <w:bookmarkEnd w:id="10"/>
      <w:bookmarkEnd w:id="11"/>
      <w:bookmarkEnd w:id="12"/>
      <w:bookmarkEnd w:id="13"/>
      <w:r w:rsidR="00303905" w:rsidRPr="004A2E21">
        <w:rPr>
          <w:lang w:val="es-MX"/>
        </w:rPr>
        <w:t>Proveedor de datos</w:t>
      </w:r>
      <w:bookmarkEnd w:id="14"/>
      <w:r w:rsidR="00303905" w:rsidRPr="004A2E21">
        <w:rPr>
          <w:lang w:val="es-MX"/>
        </w:rPr>
        <w:t xml:space="preserve"> </w:t>
      </w:r>
      <w:r w:rsidRPr="00303905">
        <w:rPr>
          <w:color w:val="B4B4B4"/>
          <w:sz w:val="20"/>
          <w:lang w:val="es-MX"/>
        </w:rPr>
        <w:t>(CONTACT)</w:t>
      </w:r>
    </w:p>
    <w:p w14:paraId="0BD77982" w14:textId="63D88DCB" w:rsidR="00576CFA" w:rsidRPr="00303905" w:rsidRDefault="00576CFA" w:rsidP="00F719A8">
      <w:pPr>
        <w:pStyle w:val="MHeader2"/>
        <w:rPr>
          <w:lang w:val="es-MX"/>
        </w:rPr>
      </w:pPr>
      <w:r w:rsidRPr="00303905">
        <w:rPr>
          <w:lang w:val="es-MX"/>
        </w:rPr>
        <w:t xml:space="preserve">1.a. </w:t>
      </w:r>
      <w:bookmarkStart w:id="15" w:name="_Hlk196759745"/>
      <w:r w:rsidR="00303905" w:rsidRPr="004A2E21">
        <w:rPr>
          <w:lang w:val="es-MX"/>
        </w:rPr>
        <w:t>Organización</w:t>
      </w:r>
      <w:bookmarkEnd w:id="15"/>
      <w:r w:rsidRPr="00303905">
        <w:rPr>
          <w:lang w:val="es-MX"/>
        </w:rPr>
        <w:t xml:space="preserve"> </w:t>
      </w:r>
      <w:r w:rsidRPr="00303905">
        <w:rPr>
          <w:color w:val="B4B4B4"/>
          <w:sz w:val="20"/>
          <w:lang w:val="es-MX"/>
        </w:rPr>
        <w:t>(CONTACT_ORGANISATION)</w:t>
      </w:r>
    </w:p>
    <w:p w14:paraId="69B30CDE" w14:textId="0A29AA12" w:rsidR="00D34340" w:rsidRPr="00303905" w:rsidRDefault="00303905" w:rsidP="00610DBB">
      <w:pPr>
        <w:pStyle w:val="MText"/>
        <w:rPr>
          <w:lang w:val="es-MX"/>
        </w:rPr>
      </w:pPr>
      <w:r w:rsidRPr="004A2E21">
        <w:rPr>
          <w:lang w:val="es-MX"/>
        </w:rPr>
        <w:t>Oficina de Naciones Unidas contra la Droga y el Delito</w:t>
      </w:r>
      <w:r>
        <w:rPr>
          <w:lang w:val="es-MX"/>
        </w:rPr>
        <w:t xml:space="preserve"> </w:t>
      </w:r>
      <w:r w:rsidR="00D34340" w:rsidRPr="00303905">
        <w:rPr>
          <w:lang w:val="es-MX"/>
        </w:rPr>
        <w:t>(UNODC)</w:t>
      </w:r>
    </w:p>
    <w:p w14:paraId="6E829FD0" w14:textId="2439F30A" w:rsidR="00F719A8" w:rsidRPr="00303905" w:rsidRDefault="00F719A8" w:rsidP="00610DBB">
      <w:pPr>
        <w:pStyle w:val="MText"/>
        <w:rPr>
          <w:lang w:val="es-MX"/>
        </w:rPr>
      </w:pPr>
    </w:p>
    <w:p w14:paraId="14915AC8" w14:textId="637A2BAB" w:rsidR="00B31E2C" w:rsidRPr="00303905" w:rsidRDefault="00B31E2C" w:rsidP="008B0AC7">
      <w:pPr>
        <w:pStyle w:val="MHeader"/>
        <w:rPr>
          <w:lang w:val="es-MX"/>
        </w:rPr>
      </w:pPr>
      <w:r w:rsidRPr="00303905">
        <w:rPr>
          <w:lang w:val="es-MX"/>
        </w:rPr>
        <w:t xml:space="preserve">2. </w:t>
      </w:r>
      <w:bookmarkStart w:id="16" w:name="_Hlk196759752"/>
      <w:r w:rsidR="00303905" w:rsidRPr="0063163D">
        <w:rPr>
          <w:lang w:val="es-MX"/>
        </w:rPr>
        <w:t>Definición, conceptos y clasificaciones</w:t>
      </w:r>
      <w:bookmarkEnd w:id="16"/>
      <w:r w:rsidR="00303905" w:rsidRPr="0063163D">
        <w:rPr>
          <w:lang w:val="es-MX"/>
        </w:rPr>
        <w:t xml:space="preserve"> </w:t>
      </w:r>
      <w:r w:rsidRPr="00303905">
        <w:rPr>
          <w:color w:val="B4B4B4"/>
          <w:sz w:val="20"/>
          <w:lang w:val="es-MX"/>
        </w:rPr>
        <w:t>(IND_DEF_CON_CLASS)</w:t>
      </w:r>
    </w:p>
    <w:p w14:paraId="2AC373EA" w14:textId="7B3214E0" w:rsidR="008B0AC7" w:rsidRPr="00303905" w:rsidRDefault="008B0AC7" w:rsidP="00F719A8">
      <w:pPr>
        <w:pStyle w:val="MHeader2"/>
        <w:rPr>
          <w:lang w:val="es-MX"/>
        </w:rPr>
      </w:pPr>
      <w:r w:rsidRPr="00303905">
        <w:rPr>
          <w:lang w:val="es-MX"/>
        </w:rPr>
        <w:t xml:space="preserve">2.a. </w:t>
      </w:r>
      <w:bookmarkStart w:id="17" w:name="_Hlk196759758"/>
      <w:r w:rsidR="00303905" w:rsidRPr="0063163D">
        <w:rPr>
          <w:lang w:val="es-MX"/>
        </w:rPr>
        <w:t>Definición y conceptos</w:t>
      </w:r>
      <w:bookmarkEnd w:id="17"/>
      <w:r w:rsidR="00303905" w:rsidRPr="0063163D">
        <w:rPr>
          <w:lang w:val="es-MX"/>
        </w:rPr>
        <w:t xml:space="preserve"> </w:t>
      </w:r>
      <w:r w:rsidRPr="00303905">
        <w:rPr>
          <w:color w:val="B4B4B4"/>
          <w:sz w:val="20"/>
          <w:lang w:val="es-MX"/>
        </w:rPr>
        <w:t>(STAT_CONC_DEF)</w:t>
      </w:r>
    </w:p>
    <w:p w14:paraId="6CE0F199" w14:textId="77777777" w:rsidR="00303905" w:rsidRPr="00222E7A" w:rsidRDefault="00303905" w:rsidP="00303905">
      <w:pPr>
        <w:shd w:val="clear" w:color="auto" w:fill="FFFFFF"/>
        <w:spacing w:after="0"/>
        <w:rPr>
          <w:rFonts w:eastAsia="Times New Roman" w:cs="Times New Roman"/>
          <w:color w:val="4A4A4A"/>
          <w:sz w:val="21"/>
          <w:szCs w:val="21"/>
          <w:lang w:val="es-MX" w:eastAsia="en-GB"/>
        </w:rPr>
      </w:pPr>
      <w:bookmarkStart w:id="18" w:name="_Hlk196760017"/>
      <w:r w:rsidRPr="00222E7A">
        <w:rPr>
          <w:rFonts w:eastAsia="Times New Roman" w:cs="Times New Roman"/>
          <w:b/>
          <w:bCs/>
          <w:color w:val="4A4A4A"/>
          <w:sz w:val="21"/>
          <w:szCs w:val="21"/>
          <w:lang w:val="es-MX" w:eastAsia="en-GB"/>
        </w:rPr>
        <w:t>Definición:</w:t>
      </w:r>
    </w:p>
    <w:bookmarkEnd w:id="18"/>
    <w:p w14:paraId="0199FAC1" w14:textId="63F5002B" w:rsidR="00D34340" w:rsidRPr="00F56995" w:rsidRDefault="00F56995" w:rsidP="00D34340">
      <w:pPr>
        <w:shd w:val="clear" w:color="auto" w:fill="FFFFFF"/>
        <w:spacing w:after="0"/>
        <w:rPr>
          <w:rFonts w:eastAsia="Times New Roman" w:cs="Times New Roman"/>
          <w:color w:val="4A4A4A"/>
          <w:sz w:val="21"/>
          <w:szCs w:val="21"/>
          <w:lang w:val="es-MX" w:eastAsia="en-GB"/>
        </w:rPr>
      </w:pPr>
      <w:r w:rsidRPr="00F56995">
        <w:rPr>
          <w:rFonts w:eastAsia="Times New Roman" w:cs="Times New Roman"/>
          <w:color w:val="4A4A4A"/>
          <w:sz w:val="21"/>
          <w:szCs w:val="21"/>
          <w:lang w:val="es-MX" w:eastAsia="en-GB"/>
        </w:rPr>
        <w:t>Este indicador se define como el porcentaje de personas que pagaron al menos un soborno (entregaron dinero, un regalo o un favor a un funcionario público) a un funcionario público, o a quienes estos funcionarios públicos les pidieron un soborno, en los últimos 12 meses, como porcentaje de las personas que tuvieron al menos un contacto con un funcionario público en el mismo período.</w:t>
      </w:r>
    </w:p>
    <w:p w14:paraId="1CC96CD0" w14:textId="77777777" w:rsidR="00303905" w:rsidRPr="00222E7A" w:rsidRDefault="00303905" w:rsidP="00303905">
      <w:pPr>
        <w:shd w:val="clear" w:color="auto" w:fill="FFFFFF"/>
        <w:spacing w:after="0"/>
        <w:rPr>
          <w:rFonts w:eastAsia="Times New Roman" w:cs="Times New Roman"/>
          <w:color w:val="4A4A4A"/>
          <w:sz w:val="21"/>
          <w:szCs w:val="21"/>
          <w:lang w:val="es-MX" w:eastAsia="en-GB"/>
        </w:rPr>
      </w:pPr>
      <w:bookmarkStart w:id="19" w:name="_Hlk196760023"/>
      <w:r w:rsidRPr="00222E7A">
        <w:rPr>
          <w:rFonts w:eastAsia="Times New Roman" w:cs="Times New Roman"/>
          <w:b/>
          <w:bCs/>
          <w:color w:val="4A4A4A"/>
          <w:sz w:val="21"/>
          <w:szCs w:val="21"/>
          <w:lang w:val="es-MX" w:eastAsia="en-GB"/>
        </w:rPr>
        <w:lastRenderedPageBreak/>
        <w:t>Conceptos:</w:t>
      </w:r>
    </w:p>
    <w:bookmarkEnd w:id="19"/>
    <w:p w14:paraId="0A654478" w14:textId="346B0F5E" w:rsidR="00F56995" w:rsidRDefault="00F56995" w:rsidP="00F56995">
      <w:pPr>
        <w:shd w:val="clear" w:color="auto" w:fill="FFFFFF"/>
        <w:spacing w:after="0"/>
        <w:rPr>
          <w:rFonts w:eastAsia="Times New Roman" w:cs="Times New Roman"/>
          <w:color w:val="4A4A4A"/>
          <w:sz w:val="21"/>
          <w:szCs w:val="21"/>
          <w:lang w:val="es-MX" w:eastAsia="en-GB"/>
        </w:rPr>
      </w:pPr>
      <w:r w:rsidRPr="00F56995">
        <w:rPr>
          <w:rFonts w:eastAsia="Times New Roman" w:cs="Times New Roman"/>
          <w:color w:val="4A4A4A"/>
          <w:sz w:val="21"/>
          <w:szCs w:val="21"/>
          <w:lang w:val="es-MX" w:eastAsia="en-GB"/>
        </w:rPr>
        <w:t xml:space="preserve">En la Clasificación Internacional de Delitos con Fines Estadísticos (ICCS), el soborno se define como: </w:t>
      </w:r>
      <w:r>
        <w:rPr>
          <w:rFonts w:eastAsia="Times New Roman" w:cs="Times New Roman"/>
          <w:color w:val="4A4A4A"/>
          <w:sz w:val="21"/>
          <w:szCs w:val="21"/>
          <w:lang w:val="es-MX" w:eastAsia="en-GB"/>
        </w:rPr>
        <w:t>“</w:t>
      </w:r>
      <w:r w:rsidRPr="00F56995">
        <w:rPr>
          <w:rFonts w:eastAsia="Times New Roman" w:cs="Times New Roman"/>
          <w:color w:val="4A4A4A"/>
          <w:sz w:val="21"/>
          <w:szCs w:val="21"/>
          <w:lang w:val="es-MX" w:eastAsia="en-GB"/>
        </w:rPr>
        <w:t>Prometer, ofrecer, dar, solicitar o aceptar una ventaja indebida a un funcionario público o a una persona que dirige o trabaja en una entidad del sector privado, directa o indirectamente, con el fin de que esa persona actúe o se abstenga de actuar en el ejercicio de sus funciones oficiales</w:t>
      </w:r>
      <w:r>
        <w:rPr>
          <w:rFonts w:eastAsia="Times New Roman" w:cs="Times New Roman"/>
          <w:color w:val="4A4A4A"/>
          <w:sz w:val="21"/>
          <w:szCs w:val="21"/>
          <w:lang w:val="es-MX" w:eastAsia="en-GB"/>
        </w:rPr>
        <w:t>”</w:t>
      </w:r>
      <w:r w:rsidRPr="00F56995">
        <w:rPr>
          <w:rFonts w:eastAsia="Times New Roman" w:cs="Times New Roman"/>
          <w:color w:val="4A4A4A"/>
          <w:sz w:val="21"/>
          <w:szCs w:val="21"/>
          <w:lang w:val="es-MX" w:eastAsia="en-GB"/>
        </w:rPr>
        <w:t xml:space="preserve"> (ICCS, categoría 07031). Esta definición se basa en las definiciones de soborno de funcionarios públicos nacionales, soborno de funcionarios públicos extranjeros y de funcionarios de organizaciones internacionales y soborno en el sector privado que figuran en la Convención de las Naciones Unidas contra la Corrupción (artículos 15, 16 y 21).</w:t>
      </w:r>
    </w:p>
    <w:p w14:paraId="2FCCA425" w14:textId="77777777" w:rsidR="00F56995" w:rsidRPr="00F56995" w:rsidRDefault="00F56995" w:rsidP="00F56995">
      <w:pPr>
        <w:shd w:val="clear" w:color="auto" w:fill="FFFFFF"/>
        <w:spacing w:after="0"/>
        <w:rPr>
          <w:rFonts w:eastAsia="Times New Roman" w:cs="Times New Roman"/>
          <w:color w:val="4A4A4A"/>
          <w:sz w:val="21"/>
          <w:szCs w:val="21"/>
          <w:lang w:val="es-MX" w:eastAsia="en-GB"/>
        </w:rPr>
      </w:pPr>
    </w:p>
    <w:p w14:paraId="6A0071E7" w14:textId="77777777" w:rsidR="00F56995" w:rsidRDefault="00F56995" w:rsidP="00F56995">
      <w:pPr>
        <w:shd w:val="clear" w:color="auto" w:fill="FFFFFF"/>
        <w:spacing w:after="0"/>
        <w:rPr>
          <w:rFonts w:eastAsia="Times New Roman" w:cs="Times New Roman"/>
          <w:color w:val="4A4A4A"/>
          <w:sz w:val="21"/>
          <w:szCs w:val="21"/>
          <w:lang w:val="es-MX" w:eastAsia="en-GB"/>
        </w:rPr>
      </w:pPr>
      <w:r w:rsidRPr="00F56995">
        <w:rPr>
          <w:rFonts w:eastAsia="Times New Roman" w:cs="Times New Roman"/>
          <w:color w:val="4A4A4A"/>
          <w:sz w:val="21"/>
          <w:szCs w:val="21"/>
          <w:lang w:val="es-MX" w:eastAsia="en-GB"/>
        </w:rPr>
        <w:t>Si bien el concepto de soborno es más amplio, ya que incluye también acciones como la promesa u oferta, y abarca tanto al sector público como al privado, este indicador se centra en formas específicas de soborno que son más cuantificables (la entrega y/o solicitud de sobornos) y limita su alcance al sector público.</w:t>
      </w:r>
    </w:p>
    <w:p w14:paraId="23AA9AA9" w14:textId="77777777" w:rsidR="00F56995" w:rsidRPr="00F56995" w:rsidRDefault="00F56995" w:rsidP="00F56995">
      <w:pPr>
        <w:shd w:val="clear" w:color="auto" w:fill="FFFFFF"/>
        <w:spacing w:after="0"/>
        <w:rPr>
          <w:rFonts w:eastAsia="Times New Roman" w:cs="Times New Roman"/>
          <w:color w:val="4A4A4A"/>
          <w:sz w:val="21"/>
          <w:szCs w:val="21"/>
          <w:lang w:val="es-MX" w:eastAsia="en-GB"/>
        </w:rPr>
      </w:pPr>
    </w:p>
    <w:p w14:paraId="2E1EA19B" w14:textId="77777777" w:rsidR="00F56995" w:rsidRDefault="00F56995" w:rsidP="00F56995">
      <w:pPr>
        <w:shd w:val="clear" w:color="auto" w:fill="FFFFFF"/>
        <w:spacing w:after="0"/>
        <w:rPr>
          <w:rFonts w:eastAsia="Times New Roman" w:cs="Times New Roman"/>
          <w:color w:val="4A4A4A"/>
          <w:sz w:val="21"/>
          <w:szCs w:val="21"/>
          <w:lang w:val="es-MX" w:eastAsia="en-GB"/>
        </w:rPr>
      </w:pPr>
      <w:r w:rsidRPr="00F56995">
        <w:rPr>
          <w:rFonts w:eastAsia="Times New Roman" w:cs="Times New Roman"/>
          <w:color w:val="4A4A4A"/>
          <w:sz w:val="21"/>
          <w:szCs w:val="21"/>
          <w:lang w:val="es-MX" w:eastAsia="en-GB"/>
        </w:rPr>
        <w:t>El concepto de ventaja indebida se opera mediante la referencia al pago de dinero (además de una tasa oficial), regalos o la prestación de un servicio solicitado/ofrecido por/a un funcionario público a cambio de un trato especial.</w:t>
      </w:r>
    </w:p>
    <w:p w14:paraId="78678A98" w14:textId="77777777" w:rsidR="00F56995" w:rsidRPr="00F56995" w:rsidRDefault="00F56995" w:rsidP="00F56995">
      <w:pPr>
        <w:shd w:val="clear" w:color="auto" w:fill="FFFFFF"/>
        <w:spacing w:after="0"/>
        <w:rPr>
          <w:rFonts w:eastAsia="Times New Roman" w:cs="Times New Roman"/>
          <w:color w:val="4A4A4A"/>
          <w:sz w:val="21"/>
          <w:szCs w:val="21"/>
          <w:lang w:val="es-MX" w:eastAsia="en-GB"/>
        </w:rPr>
      </w:pPr>
    </w:p>
    <w:p w14:paraId="682A865B" w14:textId="01F4EDF2" w:rsidR="00F56995" w:rsidRDefault="00F56995" w:rsidP="00F56995">
      <w:pPr>
        <w:shd w:val="clear" w:color="auto" w:fill="FFFFFF"/>
        <w:spacing w:after="0"/>
        <w:rPr>
          <w:rFonts w:eastAsia="Times New Roman" w:cs="Times New Roman"/>
          <w:color w:val="4A4A4A"/>
          <w:sz w:val="21"/>
          <w:szCs w:val="21"/>
          <w:lang w:val="es-MX" w:eastAsia="en-GB"/>
        </w:rPr>
      </w:pPr>
      <w:r w:rsidRPr="00F56995">
        <w:rPr>
          <w:rFonts w:eastAsia="Times New Roman" w:cs="Times New Roman"/>
          <w:color w:val="4A4A4A"/>
          <w:sz w:val="21"/>
          <w:szCs w:val="21"/>
          <w:lang w:val="es-MX" w:eastAsia="en-GB"/>
        </w:rPr>
        <w:t xml:space="preserve">Este indicador recoge lo que a menudo se denomina </w:t>
      </w:r>
      <w:r>
        <w:rPr>
          <w:rFonts w:eastAsia="Times New Roman" w:cs="Times New Roman"/>
          <w:color w:val="4A4A4A"/>
          <w:sz w:val="21"/>
          <w:szCs w:val="21"/>
          <w:lang w:val="es-MX" w:eastAsia="en-GB"/>
        </w:rPr>
        <w:t>“</w:t>
      </w:r>
      <w:r w:rsidRPr="00F56995">
        <w:rPr>
          <w:rFonts w:eastAsia="Times New Roman" w:cs="Times New Roman"/>
          <w:color w:val="4A4A4A"/>
          <w:sz w:val="21"/>
          <w:szCs w:val="21"/>
          <w:lang w:val="es-MX" w:eastAsia="en-GB"/>
        </w:rPr>
        <w:t>soborno administrativo</w:t>
      </w:r>
      <w:r>
        <w:rPr>
          <w:rFonts w:eastAsia="Times New Roman" w:cs="Times New Roman"/>
          <w:color w:val="4A4A4A"/>
          <w:sz w:val="21"/>
          <w:szCs w:val="21"/>
          <w:lang w:val="es-MX" w:eastAsia="en-GB"/>
        </w:rPr>
        <w:t>”</w:t>
      </w:r>
      <w:r w:rsidRPr="00F56995">
        <w:rPr>
          <w:rFonts w:eastAsia="Times New Roman" w:cs="Times New Roman"/>
          <w:color w:val="4A4A4A"/>
          <w:sz w:val="21"/>
          <w:szCs w:val="21"/>
          <w:lang w:val="es-MX" w:eastAsia="en-GB"/>
        </w:rPr>
        <w:t>, que suele entenderse como el tipo de soborno que afecta a los ciudadanos en sus relaciones con las administraciones públicas y/o los funcionarios.</w:t>
      </w:r>
    </w:p>
    <w:p w14:paraId="3494BFD9" w14:textId="77777777" w:rsidR="00F56995" w:rsidRPr="00F56995" w:rsidRDefault="00F56995" w:rsidP="00F56995">
      <w:pPr>
        <w:shd w:val="clear" w:color="auto" w:fill="FFFFFF"/>
        <w:spacing w:after="0"/>
        <w:rPr>
          <w:rFonts w:eastAsia="Times New Roman" w:cs="Times New Roman"/>
          <w:color w:val="4A4A4A"/>
          <w:sz w:val="21"/>
          <w:szCs w:val="21"/>
          <w:lang w:val="es-MX" w:eastAsia="en-GB"/>
        </w:rPr>
      </w:pPr>
    </w:p>
    <w:p w14:paraId="1E14F8A4" w14:textId="4271431A" w:rsidR="00F56995" w:rsidRPr="00F56995" w:rsidRDefault="00F56995" w:rsidP="00F56995">
      <w:pPr>
        <w:shd w:val="clear" w:color="auto" w:fill="FFFFFF"/>
        <w:spacing w:after="0"/>
        <w:rPr>
          <w:rFonts w:eastAsia="Times New Roman" w:cs="Times New Roman"/>
          <w:color w:val="4A4A4A"/>
          <w:sz w:val="21"/>
          <w:szCs w:val="21"/>
          <w:lang w:val="es-MX" w:eastAsia="en-GB"/>
        </w:rPr>
      </w:pPr>
      <w:r w:rsidRPr="00F56995">
        <w:rPr>
          <w:rFonts w:eastAsia="Times New Roman" w:cs="Times New Roman"/>
          <w:color w:val="4A4A4A"/>
          <w:sz w:val="21"/>
          <w:szCs w:val="21"/>
          <w:lang w:val="es-MX" w:eastAsia="en-GB"/>
        </w:rPr>
        <w:t>A efectos de este indicador, se entiende por funcionario público toda persona que ocupe un cargo legislativo, ejecutivo, administrativo o judicial. Para la aplicación del indicador se utiliza una lista de funcionarios y empleados públicos seleccionados.</w:t>
      </w:r>
    </w:p>
    <w:p w14:paraId="6E54D3D6" w14:textId="77777777" w:rsidR="00EC2915" w:rsidRPr="00F56995" w:rsidRDefault="00EC2915" w:rsidP="00576CFA">
      <w:pPr>
        <w:pStyle w:val="MText"/>
        <w:rPr>
          <w:lang w:val="es-MX"/>
        </w:rPr>
      </w:pPr>
    </w:p>
    <w:p w14:paraId="7932F8BD" w14:textId="011D0A0C" w:rsidR="008B0AC7" w:rsidRPr="00F56995" w:rsidRDefault="00576CFA" w:rsidP="00F719A8">
      <w:pPr>
        <w:pStyle w:val="MHeader2"/>
        <w:rPr>
          <w:lang w:val="es-MX"/>
        </w:rPr>
      </w:pPr>
      <w:r w:rsidRPr="00F56995">
        <w:rPr>
          <w:lang w:val="es-MX"/>
        </w:rPr>
        <w:t>2.b.</w:t>
      </w:r>
      <w:r w:rsidR="008B0AC7" w:rsidRPr="00F56995">
        <w:rPr>
          <w:lang w:val="es-MX"/>
        </w:rPr>
        <w:t xml:space="preserve"> </w:t>
      </w:r>
      <w:r w:rsidR="00303905" w:rsidRPr="0063163D">
        <w:rPr>
          <w:lang w:val="es-MX"/>
        </w:rPr>
        <w:t>Unidad de medida</w:t>
      </w:r>
      <w:r w:rsidR="00303905" w:rsidRPr="00F56995">
        <w:rPr>
          <w:color w:val="B4B4B4"/>
          <w:sz w:val="20"/>
          <w:lang w:val="es-MX"/>
        </w:rPr>
        <w:t xml:space="preserve"> </w:t>
      </w:r>
      <w:r w:rsidRPr="00F56995">
        <w:rPr>
          <w:color w:val="B4B4B4"/>
          <w:sz w:val="20"/>
          <w:lang w:val="es-MX"/>
        </w:rPr>
        <w:t>(UNIT_MEASURE)</w:t>
      </w:r>
    </w:p>
    <w:p w14:paraId="548E9AAA" w14:textId="0AFD6C53" w:rsidR="00EC2915" w:rsidRPr="00F56995" w:rsidRDefault="004F0F61" w:rsidP="00576CFA">
      <w:pPr>
        <w:pStyle w:val="MText"/>
        <w:rPr>
          <w:lang w:val="es-MX"/>
        </w:rPr>
      </w:pPr>
      <w:r w:rsidRPr="00F56995">
        <w:rPr>
          <w:lang w:val="es-MX"/>
        </w:rPr>
        <w:t>P</w:t>
      </w:r>
      <w:r w:rsidR="00F56995" w:rsidRPr="00F56995">
        <w:rPr>
          <w:lang w:val="es-MX"/>
        </w:rPr>
        <w:t>orcentaje</w:t>
      </w:r>
      <w:r w:rsidRPr="00F56995">
        <w:rPr>
          <w:lang w:val="es-MX"/>
        </w:rPr>
        <w:t xml:space="preserve"> (%)</w:t>
      </w:r>
    </w:p>
    <w:p w14:paraId="6ED65320" w14:textId="77777777" w:rsidR="004F0F61" w:rsidRPr="00F56995" w:rsidRDefault="004F0F61" w:rsidP="00576CFA">
      <w:pPr>
        <w:pStyle w:val="MText"/>
        <w:rPr>
          <w:lang w:val="es-MX"/>
        </w:rPr>
      </w:pPr>
    </w:p>
    <w:p w14:paraId="651AA7AC" w14:textId="30458AD8" w:rsidR="00DA615C" w:rsidRPr="004A7B4B" w:rsidRDefault="008B0AC7" w:rsidP="00F719A8">
      <w:pPr>
        <w:pStyle w:val="MHeader2"/>
        <w:rPr>
          <w:lang w:val="es-MX"/>
        </w:rPr>
      </w:pPr>
      <w:r w:rsidRPr="004A7B4B">
        <w:rPr>
          <w:lang w:val="es-MX"/>
        </w:rPr>
        <w:t xml:space="preserve">2.c. </w:t>
      </w:r>
      <w:bookmarkStart w:id="20" w:name="_Hlk196759776"/>
      <w:r w:rsidR="00303905" w:rsidRPr="004A7B4B">
        <w:rPr>
          <w:lang w:val="es-MX"/>
        </w:rPr>
        <w:t>Clasificaciones</w:t>
      </w:r>
      <w:bookmarkEnd w:id="20"/>
      <w:r w:rsidRPr="004A7B4B">
        <w:rPr>
          <w:lang w:val="es-MX"/>
        </w:rPr>
        <w:t xml:space="preserve"> </w:t>
      </w:r>
      <w:r w:rsidRPr="004A7B4B">
        <w:rPr>
          <w:color w:val="B4B4B4"/>
          <w:sz w:val="20"/>
          <w:lang w:val="es-MX"/>
        </w:rPr>
        <w:t>(CLASS_SYSTEM)</w:t>
      </w:r>
    </w:p>
    <w:p w14:paraId="42220654" w14:textId="719934CB" w:rsidR="00E51E20" w:rsidRPr="00F56995" w:rsidRDefault="00E06DE0" w:rsidP="00E51E20">
      <w:pPr>
        <w:pStyle w:val="MText"/>
        <w:rPr>
          <w:lang w:val="es-MX"/>
        </w:rPr>
      </w:pPr>
      <w:r w:rsidRPr="004A7B4B">
        <w:rPr>
          <w:lang w:val="es-MX"/>
        </w:rPr>
        <w:t xml:space="preserve">UNODC. 2015. </w:t>
      </w:r>
      <w:hyperlink r:id="rId11" w:history="1">
        <w:r w:rsidR="00F56995" w:rsidRPr="00F56995">
          <w:rPr>
            <w:rStyle w:val="Hipervnculo"/>
            <w:lang w:val="es-MX"/>
          </w:rPr>
          <w:t>Clasificación Internacional de Delitos con Fines Estadísticos</w:t>
        </w:r>
      </w:hyperlink>
      <w:r w:rsidR="00F56995" w:rsidRPr="00F56995">
        <w:rPr>
          <w:lang w:val="es-MX"/>
        </w:rPr>
        <w:t xml:space="preserve"> </w:t>
      </w:r>
      <w:r w:rsidR="00F56995">
        <w:rPr>
          <w:lang w:val="es-MX"/>
        </w:rPr>
        <w:t xml:space="preserve"> </w:t>
      </w:r>
      <w:r w:rsidRPr="004A7B4B">
        <w:rPr>
          <w:lang w:val="es-MX"/>
        </w:rPr>
        <w:t>(</w:t>
      </w:r>
      <w:r w:rsidR="00E51E20" w:rsidRPr="004A7B4B">
        <w:rPr>
          <w:lang w:val="es-MX"/>
        </w:rPr>
        <w:t>ICCS</w:t>
      </w:r>
      <w:r w:rsidRPr="004A7B4B">
        <w:rPr>
          <w:lang w:val="es-MX"/>
        </w:rPr>
        <w:t>)</w:t>
      </w:r>
    </w:p>
    <w:p w14:paraId="123172F4" w14:textId="77777777" w:rsidR="00F719A8" w:rsidRPr="004A7B4B" w:rsidRDefault="00F719A8" w:rsidP="00576CFA">
      <w:pPr>
        <w:pStyle w:val="MText"/>
        <w:rPr>
          <w:lang w:val="es-MX"/>
        </w:rPr>
      </w:pPr>
    </w:p>
    <w:p w14:paraId="0CC64209" w14:textId="6273E51A" w:rsidR="00E06DE0" w:rsidRPr="00F56995" w:rsidRDefault="00E06DE0" w:rsidP="00576CFA">
      <w:pPr>
        <w:pStyle w:val="MText"/>
        <w:rPr>
          <w:lang w:val="es-MX"/>
        </w:rPr>
      </w:pPr>
      <w:r w:rsidRPr="004A7B4B">
        <w:rPr>
          <w:lang w:val="es-MX"/>
        </w:rPr>
        <w:t xml:space="preserve">UNODC. </w:t>
      </w:r>
      <w:r w:rsidR="008F3E01" w:rsidRPr="004A7B4B">
        <w:rPr>
          <w:lang w:val="es-MX"/>
        </w:rPr>
        <w:t>202</w:t>
      </w:r>
      <w:r w:rsidR="00F91049" w:rsidRPr="004A7B4B">
        <w:rPr>
          <w:lang w:val="es-MX"/>
        </w:rPr>
        <w:t>3</w:t>
      </w:r>
      <w:r w:rsidRPr="004A7B4B">
        <w:rPr>
          <w:lang w:val="es-MX"/>
        </w:rPr>
        <w:t xml:space="preserve">. </w:t>
      </w:r>
      <w:r w:rsidR="00F56995" w:rsidRPr="00F56995">
        <w:rPr>
          <w:lang w:val="es-MX"/>
        </w:rPr>
        <w:t>Marco estadístico para medir la corrupción</w:t>
      </w:r>
    </w:p>
    <w:p w14:paraId="7D6F2E5D" w14:textId="77777777" w:rsidR="00E51E20" w:rsidRPr="00F56995" w:rsidRDefault="00E51E20" w:rsidP="00576CFA">
      <w:pPr>
        <w:pStyle w:val="MText"/>
        <w:rPr>
          <w:lang w:val="es-MX"/>
        </w:rPr>
      </w:pPr>
    </w:p>
    <w:p w14:paraId="1D3AEECA" w14:textId="4BAEB088" w:rsidR="00B31E2C" w:rsidRPr="00303905" w:rsidRDefault="00B31E2C" w:rsidP="00F719A8">
      <w:pPr>
        <w:pStyle w:val="MHeader"/>
        <w:rPr>
          <w:lang w:val="es-MX"/>
        </w:rPr>
      </w:pPr>
      <w:r w:rsidRPr="00303905">
        <w:rPr>
          <w:lang w:val="es-MX"/>
        </w:rPr>
        <w:t xml:space="preserve">3. </w:t>
      </w:r>
      <w:bookmarkStart w:id="21" w:name="_Hlk196759782"/>
      <w:r w:rsidR="00303905" w:rsidRPr="0063163D">
        <w:rPr>
          <w:lang w:val="es-MX"/>
        </w:rPr>
        <w:t>Tipo de fuentes de datos y método de recolección</w:t>
      </w:r>
      <w:bookmarkEnd w:id="21"/>
      <w:r w:rsidR="00303905" w:rsidRPr="0063163D">
        <w:rPr>
          <w:lang w:val="es-MX"/>
        </w:rPr>
        <w:t xml:space="preserve"> </w:t>
      </w:r>
      <w:r w:rsidRPr="00303905">
        <w:rPr>
          <w:color w:val="B4B4B4"/>
          <w:sz w:val="20"/>
          <w:lang w:val="es-MX"/>
        </w:rPr>
        <w:t>(SRC_TYPE_COLL_METHOD)</w:t>
      </w:r>
    </w:p>
    <w:p w14:paraId="340B050E" w14:textId="2EE8D4E2" w:rsidR="008B0AC7" w:rsidRPr="00303905" w:rsidRDefault="008B0AC7" w:rsidP="00F719A8">
      <w:pPr>
        <w:pStyle w:val="MHeader2"/>
        <w:rPr>
          <w:lang w:val="es-MX"/>
        </w:rPr>
      </w:pPr>
      <w:r w:rsidRPr="00303905">
        <w:rPr>
          <w:lang w:val="es-MX"/>
        </w:rPr>
        <w:t xml:space="preserve">3.a. </w:t>
      </w:r>
      <w:bookmarkStart w:id="22" w:name="_Hlk196759788"/>
      <w:r w:rsidR="00303905" w:rsidRPr="0063163D">
        <w:rPr>
          <w:lang w:val="es-MX"/>
        </w:rPr>
        <w:t>Fuentes de datos</w:t>
      </w:r>
      <w:bookmarkEnd w:id="22"/>
      <w:r w:rsidR="00303905" w:rsidRPr="0063163D">
        <w:rPr>
          <w:lang w:val="es-MX"/>
        </w:rPr>
        <w:t xml:space="preserve"> </w:t>
      </w:r>
      <w:r w:rsidRPr="00303905">
        <w:rPr>
          <w:color w:val="B4B4B4"/>
          <w:sz w:val="20"/>
          <w:lang w:val="es-MX"/>
        </w:rPr>
        <w:t>(SOURCE_TYPE)</w:t>
      </w:r>
    </w:p>
    <w:p w14:paraId="3745A854" w14:textId="77777777" w:rsidR="00F56995" w:rsidRPr="00F56995" w:rsidRDefault="00F56995" w:rsidP="00F56995">
      <w:pPr>
        <w:pStyle w:val="MText"/>
        <w:rPr>
          <w:lang w:val="es-MX"/>
        </w:rPr>
      </w:pPr>
      <w:r w:rsidRPr="00F56995">
        <w:rPr>
          <w:lang w:val="es-MX"/>
        </w:rPr>
        <w:t>Este indicador se deriva de encuestas de hogares sobre experiencias de corrupción y/o encuestas de victimización con un módulo sobre soborno.</w:t>
      </w:r>
    </w:p>
    <w:p w14:paraId="065779B5" w14:textId="77777777" w:rsidR="00F56995" w:rsidRPr="00F56995" w:rsidRDefault="00F56995" w:rsidP="00F56995">
      <w:pPr>
        <w:pStyle w:val="MText"/>
        <w:rPr>
          <w:lang w:val="es-MX"/>
        </w:rPr>
      </w:pPr>
    </w:p>
    <w:p w14:paraId="64E4D5DD" w14:textId="5E3110BA" w:rsidR="00F56995" w:rsidRPr="00F56995" w:rsidRDefault="00F56995" w:rsidP="00F56995">
      <w:pPr>
        <w:pStyle w:val="MText"/>
        <w:rPr>
          <w:lang w:val="es-MX"/>
        </w:rPr>
      </w:pPr>
      <w:r w:rsidRPr="33F7F4DA">
        <w:rPr>
          <w:lang w:val="es-MX"/>
        </w:rPr>
        <w:t xml:space="preserve">El indicador se refiere a las experiencias individuales (“directas”) del encuestado, seleccionado al azar entre los miembros del hogar, mientras que no deben incluirse las experiencias “indirectas” de soborno por parte de otros miembros. Sin embargo, las experiencias directas de soborno del encuestado pueden </w:t>
      </w:r>
      <w:r w:rsidRPr="33F7F4DA">
        <w:rPr>
          <w:lang w:val="es-MX"/>
        </w:rPr>
        <w:lastRenderedPageBreak/>
        <w:t xml:space="preserve">incluir casos en los que el pago de dinero (además de una tasa oficial), regalos o la prestación de un servicio se realiza a través de otra persona (por ejemplo, intermediarios). La experiencia de soborno se recoge mediante una serie de preguntas sobre contactos concretos y experiencias de soborno con una lista de </w:t>
      </w:r>
      <w:r w:rsidR="30D4ACC7" w:rsidRPr="33F7F4DA">
        <w:rPr>
          <w:lang w:val="es-MX"/>
        </w:rPr>
        <w:t>funcionarios y empleados públicos</w:t>
      </w:r>
      <w:r w:rsidRPr="33F7F4DA">
        <w:rPr>
          <w:lang w:val="es-MX"/>
        </w:rPr>
        <w:t>.</w:t>
      </w:r>
    </w:p>
    <w:p w14:paraId="39ED7992" w14:textId="77777777" w:rsidR="00F56995" w:rsidRPr="00F56995" w:rsidRDefault="00F56995" w:rsidP="00F56995">
      <w:pPr>
        <w:pStyle w:val="MText"/>
        <w:rPr>
          <w:lang w:val="es-MX"/>
        </w:rPr>
      </w:pPr>
    </w:p>
    <w:p w14:paraId="665D9A4C" w14:textId="77777777" w:rsidR="00F56995" w:rsidRPr="00F56995" w:rsidRDefault="00F56995" w:rsidP="00F56995">
      <w:pPr>
        <w:pStyle w:val="MText"/>
        <w:rPr>
          <w:lang w:val="es-MX"/>
        </w:rPr>
      </w:pPr>
      <w:r w:rsidRPr="00F56995">
        <w:rPr>
          <w:lang w:val="es-MX"/>
        </w:rPr>
        <w:t xml:space="preserve">El denominador se refiere únicamente a aquellas personas que han tenido al menos una interacción directa con un </w:t>
      </w:r>
      <w:proofErr w:type="gramStart"/>
      <w:r w:rsidRPr="00F56995">
        <w:rPr>
          <w:lang w:val="es-MX"/>
        </w:rPr>
        <w:t>funcionario público o empleado público</w:t>
      </w:r>
      <w:proofErr w:type="gramEnd"/>
      <w:r w:rsidRPr="00F56995">
        <w:rPr>
          <w:lang w:val="es-MX"/>
        </w:rPr>
        <w:t>, ya que constituyen el grupo de población en riesgo de sufrir soborno.</w:t>
      </w:r>
    </w:p>
    <w:p w14:paraId="2FF541A8" w14:textId="77777777" w:rsidR="00F56995" w:rsidRPr="00F56995" w:rsidRDefault="00F56995" w:rsidP="00F56995">
      <w:pPr>
        <w:pStyle w:val="MText"/>
        <w:rPr>
          <w:lang w:val="es-MX"/>
        </w:rPr>
      </w:pPr>
    </w:p>
    <w:p w14:paraId="05226EFD" w14:textId="6EE4A105" w:rsidR="00293F57" w:rsidRDefault="00F56995" w:rsidP="00F56995">
      <w:pPr>
        <w:pStyle w:val="MText"/>
        <w:rPr>
          <w:lang w:val="es-MX"/>
        </w:rPr>
      </w:pPr>
      <w:r w:rsidRPr="00F56995">
        <w:rPr>
          <w:lang w:val="es-MX"/>
        </w:rPr>
        <w:t>La Oficina de las Naciones Unidas contra la Droga y el Delito (UNODC) recopila datos sobre la prevalencia del soborno a través de su recopilación anual de datos: la Encuesta de las Naciones Unidas sobre Tendencias del Delito y Operaciones de los Sistemas de Justicia Penal (UN-CTS). La recopilación de datos a través de la UN-CTS se ve facilitada por una red de más de 140 puntos focales nacionales designados por las autoridades responsables.</w:t>
      </w:r>
    </w:p>
    <w:p w14:paraId="7442221E" w14:textId="77777777" w:rsidR="00F56995" w:rsidRPr="00F56995" w:rsidRDefault="00F56995" w:rsidP="00F56995">
      <w:pPr>
        <w:pStyle w:val="MText"/>
        <w:rPr>
          <w:lang w:val="es-MX"/>
        </w:rPr>
      </w:pPr>
    </w:p>
    <w:p w14:paraId="79368080" w14:textId="67869891" w:rsidR="008B0AC7" w:rsidRPr="00303905" w:rsidRDefault="00576CFA" w:rsidP="00F719A8">
      <w:pPr>
        <w:pStyle w:val="MHeader2"/>
        <w:rPr>
          <w:lang w:val="es-MX"/>
        </w:rPr>
      </w:pPr>
      <w:r w:rsidRPr="00303905">
        <w:rPr>
          <w:lang w:val="es-MX"/>
        </w:rPr>
        <w:t>3.b</w:t>
      </w:r>
      <w:r w:rsidR="008B0AC7" w:rsidRPr="00303905">
        <w:rPr>
          <w:lang w:val="es-MX"/>
        </w:rPr>
        <w:t xml:space="preserve">. </w:t>
      </w:r>
      <w:bookmarkStart w:id="23" w:name="_Hlk196759798"/>
      <w:r w:rsidR="00303905" w:rsidRPr="0063163D">
        <w:rPr>
          <w:lang w:val="es-MX"/>
        </w:rPr>
        <w:t>Método de recolección de datos</w:t>
      </w:r>
      <w:bookmarkEnd w:id="23"/>
      <w:r w:rsidR="00303905" w:rsidRPr="0063163D">
        <w:rPr>
          <w:lang w:val="es-MX"/>
        </w:rPr>
        <w:t xml:space="preserve"> </w:t>
      </w:r>
      <w:r w:rsidRPr="00303905">
        <w:rPr>
          <w:color w:val="B4B4B4"/>
          <w:sz w:val="20"/>
          <w:lang w:val="es-MX"/>
        </w:rPr>
        <w:t>(COLL_METHOD)</w:t>
      </w:r>
    </w:p>
    <w:p w14:paraId="7D9F065F" w14:textId="72E091D1" w:rsidR="00EC2915" w:rsidRDefault="00F56995" w:rsidP="00576CFA">
      <w:pPr>
        <w:pStyle w:val="MText"/>
        <w:rPr>
          <w:lang w:val="es-MX"/>
        </w:rPr>
      </w:pPr>
      <w:r w:rsidRPr="00F56995">
        <w:rPr>
          <w:lang w:val="es-MX"/>
        </w:rPr>
        <w:t xml:space="preserve">A nivel internacional, los datos son recopilados por la Oficina de las Naciones Unidas contra la Droga y el Delito (UNODC) a través de la recopilación anual de datos </w:t>
      </w:r>
      <w:proofErr w:type="spellStart"/>
      <w:r w:rsidRPr="00F56995">
        <w:rPr>
          <w:lang w:val="es-MX"/>
        </w:rPr>
        <w:t>del</w:t>
      </w:r>
      <w:proofErr w:type="spellEnd"/>
      <w:r w:rsidRPr="00F56995">
        <w:rPr>
          <w:lang w:val="es-MX"/>
        </w:rPr>
        <w:t xml:space="preserve"> UN-CTS. Los datos sobre el indicador de soborno son enviados a la UNODC por los Estados miembros, normalmente a través de los puntos focales nacionales </w:t>
      </w:r>
      <w:proofErr w:type="spellStart"/>
      <w:r w:rsidRPr="00F56995">
        <w:rPr>
          <w:lang w:val="es-MX"/>
        </w:rPr>
        <w:t>del</w:t>
      </w:r>
      <w:proofErr w:type="spellEnd"/>
      <w:r w:rsidRPr="00F56995">
        <w:rPr>
          <w:lang w:val="es-MX"/>
        </w:rPr>
        <w:t xml:space="preserve"> UN-CTS (más de 140 puntos focales designados), que en la mayoría de los casos son instituciones nacionales responsables de la producción de datos en el ámbito de la delincuencia y la justicia penal (oficinas nacionales de estadística, Ministerio del Interior, Ministerio de Justicia, etc.). En el caso de los países que no han designado un punto focal, la solicitud de datos se envía a la misión permanente en Viena. Cuando un país no presenta información a la UNODC, se utilizan otras fuentes oficiales, como sitios web autorizados, publicaciones u otras formas de comunicación. Una vez consolidados, los datos se comparten con los países para verificar su exactitud y validez.</w:t>
      </w:r>
    </w:p>
    <w:p w14:paraId="37638D04" w14:textId="77777777" w:rsidR="00F56995" w:rsidRPr="00F56995" w:rsidRDefault="00F56995" w:rsidP="00576CFA">
      <w:pPr>
        <w:pStyle w:val="MText"/>
        <w:rPr>
          <w:lang w:val="es-MX"/>
        </w:rPr>
      </w:pPr>
    </w:p>
    <w:p w14:paraId="170A2C05" w14:textId="4396EAED" w:rsidR="00E46D96" w:rsidRPr="00303905" w:rsidRDefault="00E46D96" w:rsidP="00F719A8">
      <w:pPr>
        <w:pStyle w:val="MHeader2"/>
        <w:rPr>
          <w:lang w:val="es-MX"/>
        </w:rPr>
      </w:pPr>
      <w:r w:rsidRPr="00303905">
        <w:rPr>
          <w:lang w:val="es-MX"/>
        </w:rPr>
        <w:t xml:space="preserve">3.c. </w:t>
      </w:r>
      <w:bookmarkStart w:id="24" w:name="_Hlk196759804"/>
      <w:r w:rsidR="00303905" w:rsidRPr="0063163D">
        <w:rPr>
          <w:lang w:val="es-MX"/>
        </w:rPr>
        <w:t>Calendario de recolección de datos</w:t>
      </w:r>
      <w:bookmarkEnd w:id="24"/>
      <w:r w:rsidR="00303905" w:rsidRPr="0063163D">
        <w:rPr>
          <w:lang w:val="es-MX"/>
        </w:rPr>
        <w:t xml:space="preserve"> </w:t>
      </w:r>
      <w:r w:rsidRPr="00303905">
        <w:rPr>
          <w:color w:val="B4B4B4"/>
          <w:sz w:val="20"/>
          <w:lang w:val="es-MX"/>
        </w:rPr>
        <w:t>(FREQ_COLL)</w:t>
      </w:r>
    </w:p>
    <w:p w14:paraId="01BA862E" w14:textId="1843E91F" w:rsidR="00EC2915" w:rsidRPr="00222E7A" w:rsidRDefault="00F56995" w:rsidP="00576CFA">
      <w:pPr>
        <w:pStyle w:val="MText"/>
        <w:rPr>
          <w:lang w:val="es-MX"/>
        </w:rPr>
      </w:pPr>
      <w:r w:rsidRPr="00222E7A">
        <w:rPr>
          <w:lang w:val="es-MX"/>
        </w:rPr>
        <w:t>Trimestre III-IV año n</w:t>
      </w:r>
    </w:p>
    <w:p w14:paraId="0E2D072F" w14:textId="77777777" w:rsidR="00F56995" w:rsidRPr="00222E7A" w:rsidRDefault="00F56995" w:rsidP="00576CFA">
      <w:pPr>
        <w:pStyle w:val="MText"/>
        <w:rPr>
          <w:lang w:val="es-MX"/>
        </w:rPr>
      </w:pPr>
    </w:p>
    <w:p w14:paraId="7D466604" w14:textId="668A4627" w:rsidR="00E46D96" w:rsidRPr="00303905" w:rsidRDefault="00E46D96" w:rsidP="00F719A8">
      <w:pPr>
        <w:pStyle w:val="MHeader2"/>
        <w:rPr>
          <w:lang w:val="es-MX"/>
        </w:rPr>
      </w:pPr>
      <w:r w:rsidRPr="00303905">
        <w:rPr>
          <w:lang w:val="es-MX"/>
        </w:rPr>
        <w:t xml:space="preserve">3.d. </w:t>
      </w:r>
      <w:bookmarkStart w:id="25" w:name="_Hlk196759813"/>
      <w:r w:rsidR="00303905" w:rsidRPr="0063163D">
        <w:rPr>
          <w:lang w:val="es-MX"/>
        </w:rPr>
        <w:t>Calendario de publicación de datos</w:t>
      </w:r>
      <w:bookmarkEnd w:id="25"/>
      <w:r w:rsidR="00303905" w:rsidRPr="0063163D">
        <w:rPr>
          <w:lang w:val="es-MX"/>
        </w:rPr>
        <w:t xml:space="preserve"> </w:t>
      </w:r>
      <w:r w:rsidRPr="00303905">
        <w:rPr>
          <w:color w:val="B4B4B4"/>
          <w:sz w:val="20"/>
          <w:lang w:val="es-MX"/>
        </w:rPr>
        <w:t>(REL_CAL_POLICY)</w:t>
      </w:r>
    </w:p>
    <w:p w14:paraId="64C749BD" w14:textId="17134AF5" w:rsidR="00EC2915" w:rsidRDefault="00F56995" w:rsidP="00576CFA">
      <w:pPr>
        <w:pStyle w:val="MText"/>
        <w:rPr>
          <w:lang w:val="es-MX"/>
        </w:rPr>
      </w:pPr>
      <w:r w:rsidRPr="00F56995">
        <w:rPr>
          <w:lang w:val="es-MX"/>
        </w:rPr>
        <w:t>Segundo trimestre del año n+1 (datos correspondientes al año n-1). Por ejemplo, los datos correspondientes al año 2022 se recopilan en el tercer y cuarto trimestre de 2023 y se publican en el segundo trimestre de 2024.</w:t>
      </w:r>
    </w:p>
    <w:p w14:paraId="65AF642B" w14:textId="77777777" w:rsidR="00F56995" w:rsidRPr="00F56995" w:rsidRDefault="00F56995" w:rsidP="00576CFA">
      <w:pPr>
        <w:pStyle w:val="MText"/>
        <w:rPr>
          <w:lang w:val="es-MX"/>
        </w:rPr>
      </w:pPr>
    </w:p>
    <w:p w14:paraId="3A4F3065" w14:textId="00A3F0DF" w:rsidR="00E46D96" w:rsidRPr="00222E7A" w:rsidRDefault="00E46D96" w:rsidP="00F719A8">
      <w:pPr>
        <w:pStyle w:val="MHeader2"/>
        <w:rPr>
          <w:lang w:val="pt-BR"/>
        </w:rPr>
      </w:pPr>
      <w:r w:rsidRPr="00222E7A">
        <w:rPr>
          <w:lang w:val="pt-BR"/>
        </w:rPr>
        <w:t xml:space="preserve">3.e. </w:t>
      </w:r>
      <w:bookmarkStart w:id="26" w:name="_Hlk196759819"/>
      <w:proofErr w:type="spellStart"/>
      <w:r w:rsidR="00303905" w:rsidRPr="00222E7A">
        <w:rPr>
          <w:lang w:val="pt-BR"/>
        </w:rPr>
        <w:t>Proveedores</w:t>
      </w:r>
      <w:proofErr w:type="spellEnd"/>
      <w:r w:rsidR="00303905" w:rsidRPr="00222E7A">
        <w:rPr>
          <w:lang w:val="pt-BR"/>
        </w:rPr>
        <w:t xml:space="preserve"> de </w:t>
      </w:r>
      <w:proofErr w:type="spellStart"/>
      <w:r w:rsidR="00303905" w:rsidRPr="00222E7A">
        <w:rPr>
          <w:lang w:val="pt-BR"/>
        </w:rPr>
        <w:t>datos</w:t>
      </w:r>
      <w:bookmarkEnd w:id="26"/>
      <w:proofErr w:type="spellEnd"/>
      <w:r w:rsidR="00303905" w:rsidRPr="00222E7A">
        <w:rPr>
          <w:lang w:val="pt-BR"/>
        </w:rPr>
        <w:t xml:space="preserve"> </w:t>
      </w:r>
      <w:r w:rsidRPr="00222E7A">
        <w:rPr>
          <w:color w:val="B4B4B4"/>
          <w:sz w:val="20"/>
          <w:lang w:val="pt-BR"/>
        </w:rPr>
        <w:t>(DATA_SOURCE)</w:t>
      </w:r>
    </w:p>
    <w:p w14:paraId="6E7C85FA" w14:textId="77777777" w:rsidR="00F56995" w:rsidRDefault="00F56995" w:rsidP="00F56995">
      <w:pPr>
        <w:pStyle w:val="MText"/>
        <w:rPr>
          <w:lang w:val="es-MX"/>
        </w:rPr>
      </w:pPr>
      <w:r w:rsidRPr="00F56995">
        <w:rPr>
          <w:lang w:val="es-MX"/>
        </w:rPr>
        <w:t>La fuente principal de datos sobre el indicador de experiencia en materia de soborno suele ser la institución encargada de realizar encuestas sobre corrupción o victimización (Oficina Nacional de Estadística, Agencia Anticorrupción, etc.).</w:t>
      </w:r>
    </w:p>
    <w:p w14:paraId="2D8E7EE5" w14:textId="77777777" w:rsidR="00F56995" w:rsidRPr="00F56995" w:rsidRDefault="00F56995" w:rsidP="00F56995">
      <w:pPr>
        <w:pStyle w:val="MText"/>
        <w:rPr>
          <w:lang w:val="es-MX"/>
        </w:rPr>
      </w:pPr>
    </w:p>
    <w:p w14:paraId="3A2CC3D4" w14:textId="77777777" w:rsidR="00F56995" w:rsidRPr="00F56995" w:rsidRDefault="00F56995" w:rsidP="00F56995">
      <w:pPr>
        <w:pStyle w:val="MText"/>
        <w:rPr>
          <w:lang w:val="es-MX"/>
        </w:rPr>
      </w:pPr>
      <w:r w:rsidRPr="00F56995">
        <w:rPr>
          <w:lang w:val="es-MX"/>
        </w:rPr>
        <w:t xml:space="preserve">Los datos sobre soborno son enviados a la UNODC por los Estados miembros, normalmente a través de los puntos focales nacionales del programa de asistencia técnica contra la delincuencia de las Naciones Unidas, que en la mayoría de los casos son instituciones nacionales encargadas de la producción de datos </w:t>
      </w:r>
      <w:r w:rsidRPr="00F56995">
        <w:rPr>
          <w:lang w:val="es-MX"/>
        </w:rPr>
        <w:lastRenderedPageBreak/>
        <w:t xml:space="preserve">en el ámbito de la delincuencia y la justicia penal (oficinas nacionales de estadística, Ministerio del Interior, Ministerio de Justicia, etc.). </w:t>
      </w:r>
    </w:p>
    <w:p w14:paraId="36FA01E1" w14:textId="77777777" w:rsidR="00D34340" w:rsidRPr="00F56995" w:rsidRDefault="00D34340" w:rsidP="00576CFA">
      <w:pPr>
        <w:pStyle w:val="MText"/>
        <w:rPr>
          <w:lang w:val="es-MX"/>
        </w:rPr>
      </w:pPr>
    </w:p>
    <w:p w14:paraId="30DC8E05" w14:textId="19B946DB" w:rsidR="00E46D96" w:rsidRPr="00303905" w:rsidRDefault="00E46D96" w:rsidP="00F719A8">
      <w:pPr>
        <w:pStyle w:val="MHeader2"/>
        <w:rPr>
          <w:lang w:val="es-MX"/>
        </w:rPr>
      </w:pPr>
      <w:r w:rsidRPr="00303905">
        <w:rPr>
          <w:lang w:val="es-MX"/>
        </w:rPr>
        <w:t xml:space="preserve">3.f. </w:t>
      </w:r>
      <w:bookmarkStart w:id="27" w:name="_Hlk196759827"/>
      <w:r w:rsidR="00303905" w:rsidRPr="0063163D">
        <w:rPr>
          <w:lang w:val="es-MX"/>
        </w:rPr>
        <w:t>Compiladores de datos</w:t>
      </w:r>
      <w:bookmarkEnd w:id="27"/>
      <w:r w:rsidR="00303905" w:rsidRPr="0063163D">
        <w:rPr>
          <w:lang w:val="es-MX"/>
        </w:rPr>
        <w:t xml:space="preserve"> </w:t>
      </w:r>
      <w:r w:rsidRPr="00303905">
        <w:rPr>
          <w:color w:val="B4B4B4"/>
          <w:sz w:val="20"/>
          <w:lang w:val="es-MX"/>
        </w:rPr>
        <w:t>(COMPILING_ORG)</w:t>
      </w:r>
    </w:p>
    <w:p w14:paraId="759E17BE" w14:textId="31A874C7" w:rsidR="00D34340" w:rsidRPr="00F56995" w:rsidRDefault="00D34340" w:rsidP="00D34340">
      <w:pPr>
        <w:shd w:val="clear" w:color="auto" w:fill="FFFFFF"/>
        <w:spacing w:after="0"/>
        <w:rPr>
          <w:rFonts w:eastAsia="Times New Roman" w:cs="Times New Roman"/>
          <w:color w:val="4A4A4A"/>
          <w:sz w:val="21"/>
          <w:szCs w:val="21"/>
          <w:lang w:val="es-MX" w:eastAsia="en-GB"/>
        </w:rPr>
      </w:pPr>
      <w:r w:rsidRPr="00F56995">
        <w:rPr>
          <w:rFonts w:eastAsia="Times New Roman" w:cs="Times New Roman"/>
          <w:b/>
          <w:bCs/>
          <w:color w:val="4A4A4A"/>
          <w:sz w:val="21"/>
          <w:szCs w:val="21"/>
          <w:lang w:val="es-MX" w:eastAsia="en-GB"/>
        </w:rPr>
        <w:t>N</w:t>
      </w:r>
      <w:r w:rsidR="00303905" w:rsidRPr="00F56995">
        <w:rPr>
          <w:rFonts w:eastAsia="Times New Roman" w:cs="Times New Roman"/>
          <w:b/>
          <w:bCs/>
          <w:color w:val="4A4A4A"/>
          <w:sz w:val="21"/>
          <w:szCs w:val="21"/>
          <w:lang w:val="es-MX" w:eastAsia="en-GB"/>
        </w:rPr>
        <w:t>ombre</w:t>
      </w:r>
      <w:r w:rsidRPr="00F56995">
        <w:rPr>
          <w:rFonts w:eastAsia="Times New Roman" w:cs="Times New Roman"/>
          <w:b/>
          <w:bCs/>
          <w:color w:val="4A4A4A"/>
          <w:sz w:val="21"/>
          <w:szCs w:val="21"/>
          <w:lang w:val="es-MX" w:eastAsia="en-GB"/>
        </w:rPr>
        <w:t>:</w:t>
      </w:r>
    </w:p>
    <w:p w14:paraId="58549C8B" w14:textId="567446DC" w:rsidR="00D34340" w:rsidRPr="00F56995" w:rsidRDefault="00F56995" w:rsidP="00D34340">
      <w:pPr>
        <w:shd w:val="clear" w:color="auto" w:fill="FFFFFF"/>
        <w:spacing w:after="0"/>
        <w:rPr>
          <w:rFonts w:eastAsia="Times New Roman" w:cs="Times New Roman"/>
          <w:color w:val="4A4A4A"/>
          <w:sz w:val="21"/>
          <w:szCs w:val="21"/>
          <w:lang w:val="es-MX" w:eastAsia="en-GB"/>
        </w:rPr>
      </w:pPr>
      <w:r w:rsidRPr="00222E7A">
        <w:rPr>
          <w:rFonts w:eastAsia="Times New Roman" w:cs="Times New Roman"/>
          <w:color w:val="4A4A4A"/>
          <w:sz w:val="21"/>
          <w:szCs w:val="21"/>
          <w:lang w:val="es-MX" w:eastAsia="en-GB"/>
        </w:rPr>
        <w:t>Oficina de Naciones Unidas contra la Droga y el Delito</w:t>
      </w:r>
      <w:r>
        <w:rPr>
          <w:lang w:val="es-MX"/>
        </w:rPr>
        <w:t xml:space="preserve"> </w:t>
      </w:r>
      <w:r w:rsidR="00237D3C" w:rsidRPr="00F56995">
        <w:rPr>
          <w:rFonts w:eastAsia="Times New Roman" w:cs="Times New Roman"/>
          <w:color w:val="4A4A4A"/>
          <w:sz w:val="21"/>
          <w:szCs w:val="21"/>
          <w:lang w:val="es-MX" w:eastAsia="en-GB"/>
        </w:rPr>
        <w:t>(UNODC)</w:t>
      </w:r>
    </w:p>
    <w:p w14:paraId="79EFC007" w14:textId="77777777" w:rsidR="0045680E" w:rsidRPr="00F56995" w:rsidRDefault="0045680E" w:rsidP="00D34340">
      <w:pPr>
        <w:shd w:val="clear" w:color="auto" w:fill="FFFFFF"/>
        <w:spacing w:after="0"/>
        <w:rPr>
          <w:b/>
          <w:color w:val="4A4A4A"/>
          <w:sz w:val="21"/>
          <w:lang w:val="es-MX"/>
        </w:rPr>
      </w:pPr>
    </w:p>
    <w:p w14:paraId="410662A7" w14:textId="34EED65B" w:rsidR="00D34340" w:rsidRPr="00F56995" w:rsidRDefault="00D34340" w:rsidP="00D34340">
      <w:pPr>
        <w:shd w:val="clear" w:color="auto" w:fill="FFFFFF"/>
        <w:spacing w:after="0"/>
        <w:rPr>
          <w:rFonts w:eastAsia="Times New Roman" w:cs="Times New Roman"/>
          <w:color w:val="4A4A4A"/>
          <w:sz w:val="21"/>
          <w:szCs w:val="21"/>
          <w:lang w:val="es-MX" w:eastAsia="en-GB"/>
        </w:rPr>
      </w:pPr>
      <w:r w:rsidRPr="00F56995">
        <w:rPr>
          <w:rFonts w:eastAsia="Times New Roman" w:cs="Times New Roman"/>
          <w:b/>
          <w:bCs/>
          <w:color w:val="4A4A4A"/>
          <w:sz w:val="21"/>
          <w:szCs w:val="21"/>
          <w:lang w:val="es-MX" w:eastAsia="en-GB"/>
        </w:rPr>
        <w:t>Descri</w:t>
      </w:r>
      <w:r w:rsidR="00303905" w:rsidRPr="00F56995">
        <w:rPr>
          <w:rFonts w:eastAsia="Times New Roman" w:cs="Times New Roman"/>
          <w:b/>
          <w:bCs/>
          <w:color w:val="4A4A4A"/>
          <w:sz w:val="21"/>
          <w:szCs w:val="21"/>
          <w:lang w:val="es-MX" w:eastAsia="en-GB"/>
        </w:rPr>
        <w:t>pción</w:t>
      </w:r>
      <w:r w:rsidRPr="00F56995">
        <w:rPr>
          <w:rFonts w:eastAsia="Times New Roman" w:cs="Times New Roman"/>
          <w:b/>
          <w:bCs/>
          <w:color w:val="4A4A4A"/>
          <w:sz w:val="21"/>
          <w:szCs w:val="21"/>
          <w:lang w:val="es-MX" w:eastAsia="en-GB"/>
        </w:rPr>
        <w:t>:</w:t>
      </w:r>
    </w:p>
    <w:p w14:paraId="5C43435B" w14:textId="447FBCCF" w:rsidR="00EC2915" w:rsidRDefault="00F56995" w:rsidP="00576CFA">
      <w:pPr>
        <w:pStyle w:val="MText"/>
        <w:rPr>
          <w:lang w:val="es-MX"/>
        </w:rPr>
      </w:pPr>
      <w:r w:rsidRPr="00F56995">
        <w:rPr>
          <w:lang w:val="es-MX"/>
        </w:rPr>
        <w:t>A nivel internacional, la Oficina de las Naciones Unidas contra la Droga y el Delito (UNODC) recopila y difunde datos de forma sistemática a través de la recopilación anual de datos de la Encuesta de las Naciones Unidas sobre Tendencias del Delito y Operaciones de los Sistemas de Justicia Penal (UN-CTS). La UNODC colabora con organizaciones regionales en la recopilación y difusión de datos, concretamente con Eurostat en Europa y con la Organización de los Estados Americanos en América.</w:t>
      </w:r>
    </w:p>
    <w:p w14:paraId="58206571" w14:textId="77777777" w:rsidR="00F56995" w:rsidRPr="00F56995" w:rsidRDefault="00F56995" w:rsidP="00576CFA">
      <w:pPr>
        <w:pStyle w:val="MText"/>
        <w:rPr>
          <w:lang w:val="es-MX"/>
        </w:rPr>
      </w:pPr>
    </w:p>
    <w:p w14:paraId="5655E768" w14:textId="59CEB9F7" w:rsidR="00E46D96" w:rsidRPr="00F56995" w:rsidRDefault="00E46D96" w:rsidP="00F719A8">
      <w:pPr>
        <w:pStyle w:val="MHeader2"/>
        <w:rPr>
          <w:lang w:val="es-MX"/>
        </w:rPr>
      </w:pPr>
      <w:r w:rsidRPr="00F56995">
        <w:rPr>
          <w:lang w:val="es-MX"/>
        </w:rPr>
        <w:t xml:space="preserve">3.g. </w:t>
      </w:r>
      <w:bookmarkStart w:id="28" w:name="_Hlk196759834"/>
      <w:r w:rsidR="00303905" w:rsidRPr="00F56995">
        <w:rPr>
          <w:lang w:val="es-MX"/>
        </w:rPr>
        <w:t>Mandato institucional</w:t>
      </w:r>
      <w:bookmarkEnd w:id="28"/>
      <w:r w:rsidR="00303905" w:rsidRPr="00F56995">
        <w:rPr>
          <w:lang w:val="es-MX"/>
        </w:rPr>
        <w:t xml:space="preserve"> </w:t>
      </w:r>
      <w:r w:rsidRPr="00F56995">
        <w:rPr>
          <w:color w:val="B4B4B4"/>
          <w:sz w:val="20"/>
          <w:lang w:val="es-MX"/>
        </w:rPr>
        <w:t>(INST_MANDATE)</w:t>
      </w:r>
    </w:p>
    <w:p w14:paraId="65542CED" w14:textId="77777777" w:rsidR="00F56995" w:rsidRDefault="00F56995" w:rsidP="00F56995">
      <w:pPr>
        <w:pStyle w:val="MText"/>
        <w:rPr>
          <w:lang w:val="es-MX"/>
        </w:rPr>
      </w:pPr>
      <w:r w:rsidRPr="00F56995">
        <w:rPr>
          <w:lang w:val="es-MX"/>
        </w:rPr>
        <w:t>La Oficina de las Naciones Unidas contra la Droga y el Delito (UNODC), en su calidad de custodio de las normas y reglas de las Naciones Unidas en materia de prevención del delito y justicia penal, ayuda a los Estados Miembros a reformar sus sistemas de justicia penal para que sean eficaces, justos y humanos para toda la población. La UNODC elabora instrumentos técnicos para ayudar a los Estados Miembros a aplicar las normas y reglas de las Naciones Unidas y les presta asistencia técnica en materia de prevención del delito y reforma de la justicia penal. Lo hace a través de varios programas mundiales y de la red de oficinas sobre el terreno de la UNODC.</w:t>
      </w:r>
    </w:p>
    <w:p w14:paraId="12FB1A6B" w14:textId="77777777" w:rsidR="00F56995" w:rsidRPr="00F56995" w:rsidRDefault="00F56995" w:rsidP="00F56995">
      <w:pPr>
        <w:pStyle w:val="MText"/>
        <w:rPr>
          <w:lang w:val="es-MX"/>
        </w:rPr>
      </w:pPr>
    </w:p>
    <w:p w14:paraId="694C5C1B" w14:textId="77777777" w:rsidR="00F56995" w:rsidRPr="00F56995" w:rsidRDefault="00F56995" w:rsidP="00F56995">
      <w:pPr>
        <w:pStyle w:val="MText"/>
        <w:rPr>
          <w:lang w:val="es-MX"/>
        </w:rPr>
      </w:pPr>
      <w:r w:rsidRPr="00F56995">
        <w:rPr>
          <w:lang w:val="es-MX"/>
        </w:rPr>
        <w:t xml:space="preserve">La UNODC se encarga de realizar el Estudio de las Naciones Unidas sobre las Tendencias de la Delincuencia y las Operaciones de los Sistemas de Justicia Penal (UN-CTS), que se introdujo mediante la resolución </w:t>
      </w:r>
      <w:hyperlink r:id="rId12" w:history="1">
        <w:r w:rsidRPr="00F56995">
          <w:rPr>
            <w:rStyle w:val="Hipervnculo"/>
            <w:lang w:val="es-MX"/>
          </w:rPr>
          <w:t>A/RES/3021(XXVII)</w:t>
        </w:r>
      </w:hyperlink>
      <w:r w:rsidRPr="00F56995">
        <w:rPr>
          <w:lang w:val="es-MX"/>
        </w:rPr>
        <w:t xml:space="preserve"> de la Asamblea General en 1972. El Consejo Económico y Social, en su resolución 1984/48, de 25 de mayo de 1984, pidió además al </w:t>
      </w:r>
      <w:proofErr w:type="gramStart"/>
      <w:r w:rsidRPr="00F56995">
        <w:rPr>
          <w:lang w:val="es-MX"/>
        </w:rPr>
        <w:t>Secretario General</w:t>
      </w:r>
      <w:proofErr w:type="gramEnd"/>
      <w:r w:rsidRPr="00F56995">
        <w:rPr>
          <w:lang w:val="es-MX"/>
        </w:rPr>
        <w:t xml:space="preserve"> que mantuviera y desarrollara la base de datos de las Naciones Unidas sobre la delincuencia, prosiguiendo la realización de estudios sobre las tendencias de la delincuencia y el funcionamiento de los sistemas de justicia penal. </w:t>
      </w:r>
    </w:p>
    <w:p w14:paraId="3D063F4C" w14:textId="57805BD7" w:rsidR="00F719A8" w:rsidRPr="00F56995" w:rsidRDefault="00F719A8" w:rsidP="00576CFA">
      <w:pPr>
        <w:pStyle w:val="MText"/>
        <w:rPr>
          <w:lang w:val="es-MX"/>
        </w:rPr>
      </w:pPr>
    </w:p>
    <w:p w14:paraId="6149DC94" w14:textId="70B8D1F4" w:rsidR="00B31E2C" w:rsidRPr="00303905" w:rsidRDefault="00B31E2C" w:rsidP="00AF5ED1">
      <w:pPr>
        <w:pStyle w:val="MHeader"/>
        <w:rPr>
          <w:lang w:val="es-MX"/>
        </w:rPr>
      </w:pPr>
      <w:r w:rsidRPr="00303905">
        <w:rPr>
          <w:lang w:val="es-MX"/>
        </w:rPr>
        <w:t xml:space="preserve">4. </w:t>
      </w:r>
      <w:bookmarkStart w:id="29" w:name="_Hlk196759841"/>
      <w:r w:rsidR="00303905" w:rsidRPr="0063163D">
        <w:rPr>
          <w:lang w:val="es-MX"/>
        </w:rPr>
        <w:t>Otras consideraciones metodológicas</w:t>
      </w:r>
      <w:bookmarkEnd w:id="29"/>
      <w:r w:rsidR="00303905" w:rsidRPr="0063163D">
        <w:rPr>
          <w:lang w:val="es-MX"/>
        </w:rPr>
        <w:t xml:space="preserve"> </w:t>
      </w:r>
      <w:r w:rsidRPr="00303905">
        <w:rPr>
          <w:color w:val="B4B4B4"/>
          <w:sz w:val="20"/>
          <w:lang w:val="es-MX"/>
        </w:rPr>
        <w:t>(OTHER_METHOD)</w:t>
      </w:r>
    </w:p>
    <w:p w14:paraId="1AFA5517" w14:textId="3AA552CD" w:rsidR="00AF5ED1" w:rsidRPr="00F56995" w:rsidRDefault="00576CFA" w:rsidP="00F719A8">
      <w:pPr>
        <w:pStyle w:val="MHeader2"/>
        <w:rPr>
          <w:lang w:val="es-MX"/>
        </w:rPr>
      </w:pPr>
      <w:r w:rsidRPr="00F56995">
        <w:rPr>
          <w:lang w:val="es-MX"/>
        </w:rPr>
        <w:t xml:space="preserve">4.a. </w:t>
      </w:r>
      <w:bookmarkStart w:id="30" w:name="_Hlk196759850"/>
      <w:r w:rsidR="00303905" w:rsidRPr="009B7554">
        <w:rPr>
          <w:lang w:val="es-MX"/>
        </w:rPr>
        <w:t>Justificación</w:t>
      </w:r>
      <w:bookmarkEnd w:id="30"/>
      <w:r w:rsidRPr="00F56995">
        <w:rPr>
          <w:lang w:val="es-MX"/>
        </w:rPr>
        <w:t xml:space="preserve"> </w:t>
      </w:r>
      <w:r w:rsidRPr="00F56995">
        <w:rPr>
          <w:color w:val="B4B4B4"/>
          <w:sz w:val="20"/>
          <w:lang w:val="es-MX"/>
        </w:rPr>
        <w:t>(RATIONALE)</w:t>
      </w:r>
    </w:p>
    <w:p w14:paraId="3A37ED8C" w14:textId="77777777" w:rsidR="00F56995" w:rsidRPr="00F56995" w:rsidRDefault="00F56995" w:rsidP="00F56995">
      <w:pPr>
        <w:pStyle w:val="MText"/>
        <w:rPr>
          <w:lang w:val="es-MX"/>
        </w:rPr>
      </w:pPr>
      <w:r w:rsidRPr="00F56995">
        <w:rPr>
          <w:lang w:val="es-MX"/>
        </w:rPr>
        <w:t xml:space="preserve">La corrupción es </w:t>
      </w:r>
      <w:proofErr w:type="gramStart"/>
      <w:r w:rsidRPr="00F56995">
        <w:rPr>
          <w:lang w:val="es-MX"/>
        </w:rPr>
        <w:t>antónimo</w:t>
      </w:r>
      <w:proofErr w:type="gramEnd"/>
      <w:r w:rsidRPr="00F56995">
        <w:rPr>
          <w:lang w:val="es-MX"/>
        </w:rPr>
        <w:t xml:space="preserve"> de la igualdad de acceso a los servicios públicos y del correcto funcionamiento de la economía; como tal, tiene un impacto negativo en la distribución equitativa de los recursos y las oportunidades de desarrollo. Además, la corrupción erosiona la confianza de la ciudadanía en las autoridades y en el Estado de derecho; cuando el soborno administrativo se convierte en una experiencia recurrente de amplios sectores de la población y las empresas, sus efectos negativos tienen un impacto negativo duradero en el Estado de derecho, los procesos democráticos y la justicia. Al proporcionar una medida directa de la experiencia del soborno, este indicador ofrece una métrica objetiva de la corrupción, un punto de referencia para supervisar los avances en la lucha contra la corrupción.</w:t>
      </w:r>
    </w:p>
    <w:p w14:paraId="009787D1" w14:textId="77777777" w:rsidR="00D34340" w:rsidRPr="00F56995" w:rsidRDefault="00D34340" w:rsidP="00576CFA">
      <w:pPr>
        <w:pStyle w:val="MText"/>
        <w:rPr>
          <w:lang w:val="es-MX"/>
        </w:rPr>
      </w:pPr>
    </w:p>
    <w:p w14:paraId="2529B069" w14:textId="59584275" w:rsidR="00E1050F" w:rsidRPr="00303905" w:rsidRDefault="00E1050F" w:rsidP="00F719A8">
      <w:pPr>
        <w:pStyle w:val="MHeader2"/>
        <w:rPr>
          <w:lang w:val="es-MX"/>
        </w:rPr>
      </w:pPr>
      <w:r w:rsidRPr="00303905">
        <w:rPr>
          <w:lang w:val="es-MX"/>
        </w:rPr>
        <w:t xml:space="preserve">4.b. </w:t>
      </w:r>
      <w:bookmarkStart w:id="31" w:name="_Hlk196759856"/>
      <w:r w:rsidR="00303905" w:rsidRPr="0063163D">
        <w:rPr>
          <w:lang w:val="es-MX"/>
        </w:rPr>
        <w:t>Comentarios y limitaciones</w:t>
      </w:r>
      <w:bookmarkEnd w:id="31"/>
      <w:r w:rsidR="00303905" w:rsidRPr="0063163D">
        <w:rPr>
          <w:lang w:val="es-MX"/>
        </w:rPr>
        <w:t xml:space="preserve"> </w:t>
      </w:r>
      <w:r w:rsidRPr="00303905">
        <w:rPr>
          <w:color w:val="B4B4B4"/>
          <w:sz w:val="20"/>
          <w:lang w:val="es-MX"/>
        </w:rPr>
        <w:t>(REC_USE_LIM)</w:t>
      </w:r>
    </w:p>
    <w:p w14:paraId="6F979A24" w14:textId="77777777" w:rsidR="00F56995" w:rsidRDefault="00F56995" w:rsidP="00F56995">
      <w:pPr>
        <w:pStyle w:val="MText"/>
        <w:rPr>
          <w:lang w:val="es-MX"/>
        </w:rPr>
      </w:pPr>
      <w:r w:rsidRPr="00F56995">
        <w:rPr>
          <w:lang w:val="es-MX"/>
        </w:rPr>
        <w:lastRenderedPageBreak/>
        <w:t xml:space="preserve">La prevalencia del soborno en el marco de indicadores de los ODS se define como el porcentaje de personas que pagaron al menos un soborno (entregaron dinero, un regalo o un favor a un funcionario público) a un funcionario público, </w:t>
      </w:r>
      <w:r w:rsidRPr="00F56995">
        <w:rPr>
          <w:u w:val="single"/>
          <w:lang w:val="es-MX"/>
        </w:rPr>
        <w:t>o a quienes estos funcionarios públicos les pidieron un soborno</w:t>
      </w:r>
      <w:r w:rsidRPr="00F56995">
        <w:rPr>
          <w:lang w:val="es-MX"/>
        </w:rPr>
        <w:t>, en los últimos 12 meses, como porcentaje de las personas que tuvieron al menos un contacto con un funcionario público en el mismo período.</w:t>
      </w:r>
    </w:p>
    <w:p w14:paraId="7C658B79" w14:textId="77777777" w:rsidR="00F56995" w:rsidRPr="00F56995" w:rsidRDefault="00F56995" w:rsidP="00F56995">
      <w:pPr>
        <w:pStyle w:val="MText"/>
        <w:rPr>
          <w:lang w:val="es-MX"/>
        </w:rPr>
      </w:pPr>
    </w:p>
    <w:p w14:paraId="260154E2" w14:textId="77777777" w:rsidR="00F56995" w:rsidRPr="00F56995" w:rsidRDefault="00F56995" w:rsidP="00F56995">
      <w:pPr>
        <w:pStyle w:val="MText"/>
        <w:rPr>
          <w:lang w:val="es-MX"/>
        </w:rPr>
      </w:pPr>
      <w:r w:rsidRPr="00F56995">
        <w:rPr>
          <w:lang w:val="es-MX"/>
        </w:rPr>
        <w:t>En esta formulación, la proporción de la población en contacto con funcionarios públicos a la que se le pidió que pagara un soborno (pero no lo hizo) debe incluirse en el numerador del indicador. Sin embargo, varios programas de encuestas históricos y en curso, aplicados a nivel nacional e internacional, no incluyen las experiencias de rechazo del soborno en la formulación y el cálculo de la prevalencia. Se espera que los datos según la definición preferida (que incluye la negativa a pagar un soborno) estén cada vez más disponibles a nivel nacional y mundial, a medida que se apliquen una redacción estandarizada de las preguntas y un cálculo estandarizado de los indicadores.</w:t>
      </w:r>
    </w:p>
    <w:p w14:paraId="1C223B0B" w14:textId="77777777" w:rsidR="00F56995" w:rsidRPr="00F56995" w:rsidRDefault="00F56995" w:rsidP="00F56995">
      <w:pPr>
        <w:pStyle w:val="MText"/>
        <w:rPr>
          <w:lang w:val="es-MX"/>
        </w:rPr>
      </w:pPr>
    </w:p>
    <w:p w14:paraId="683FDFC6" w14:textId="77777777" w:rsidR="00F56995" w:rsidRPr="00F56995" w:rsidRDefault="00F56995" w:rsidP="00F56995">
      <w:pPr>
        <w:pStyle w:val="MText"/>
        <w:rPr>
          <w:lang w:val="es-MX"/>
        </w:rPr>
      </w:pPr>
      <w:r w:rsidRPr="00F56995">
        <w:rPr>
          <w:lang w:val="es-MX"/>
        </w:rPr>
        <w:t>A un nivel más general, cabe señalar que este indicador proporciona información sobre las experiencias de soborno que se producen durante las interacciones entre los ciudadanos y el sector público, mientras que no abarca otras formas de corrupción, como la «gran corrupción», el tráfico de influencias o el abuso de poder.</w:t>
      </w:r>
    </w:p>
    <w:p w14:paraId="745A44F4" w14:textId="77777777" w:rsidR="00D34340" w:rsidRPr="00F56995" w:rsidRDefault="00D34340" w:rsidP="00D34340">
      <w:pPr>
        <w:pStyle w:val="MText"/>
        <w:rPr>
          <w:lang w:val="es-MX"/>
        </w:rPr>
      </w:pPr>
    </w:p>
    <w:p w14:paraId="79EEEE38" w14:textId="5A28F824" w:rsidR="00E1050F" w:rsidRPr="004A7B4B" w:rsidRDefault="00E1050F" w:rsidP="00F719A8">
      <w:pPr>
        <w:pStyle w:val="MHeader2"/>
        <w:rPr>
          <w:lang w:val="pt-BR"/>
        </w:rPr>
      </w:pPr>
      <w:r w:rsidRPr="004A7B4B">
        <w:rPr>
          <w:lang w:val="pt-BR"/>
        </w:rPr>
        <w:t xml:space="preserve">4.c. </w:t>
      </w:r>
      <w:bookmarkStart w:id="32" w:name="_Hlk196759866"/>
      <w:r w:rsidR="00303905" w:rsidRPr="004A7B4B">
        <w:rPr>
          <w:lang w:val="pt-BR"/>
        </w:rPr>
        <w:t>Método de cálculo</w:t>
      </w:r>
      <w:bookmarkEnd w:id="32"/>
      <w:r w:rsidR="00303905" w:rsidRPr="004A7B4B">
        <w:rPr>
          <w:lang w:val="pt-BR"/>
        </w:rPr>
        <w:t xml:space="preserve"> </w:t>
      </w:r>
      <w:r w:rsidRPr="004A7B4B">
        <w:rPr>
          <w:color w:val="B4B4B4"/>
          <w:sz w:val="20"/>
          <w:lang w:val="pt-BR"/>
        </w:rPr>
        <w:t>(DATA_COMP)</w:t>
      </w:r>
    </w:p>
    <w:p w14:paraId="3A0DAC53" w14:textId="77777777" w:rsidR="00F42CD3" w:rsidRPr="00F42CD3" w:rsidRDefault="00F42CD3" w:rsidP="00F42CD3">
      <w:pPr>
        <w:pStyle w:val="MText"/>
        <w:rPr>
          <w:lang w:val="es-MX"/>
        </w:rPr>
      </w:pPr>
      <w:r w:rsidRPr="00F42CD3">
        <w:rPr>
          <w:lang w:val="es-MX"/>
        </w:rPr>
        <w:t>El indicador se calcula como el número total de personas que pagaron al menos un soborno a un funcionario público (o a quienes se les pidió un soborno) en los últimos 12 meses, sobre el número total de personas que tuvieron al menos un contacto con un funcionario público en el mismo período, multiplicado por 100.</w:t>
      </w:r>
    </w:p>
    <w:p w14:paraId="59AF5966" w14:textId="77777777" w:rsidR="00D34340" w:rsidRPr="00F42CD3" w:rsidRDefault="00D34340" w:rsidP="00576CFA">
      <w:pPr>
        <w:pStyle w:val="MText"/>
        <w:rPr>
          <w:lang w:val="es-MX"/>
        </w:rPr>
      </w:pPr>
    </w:p>
    <w:p w14:paraId="110DCCCF" w14:textId="0866C41E" w:rsidR="006654F9" w:rsidRDefault="00F42CD3" w:rsidP="00591455">
      <w:pPr>
        <w:pStyle w:val="MText"/>
        <w:jc w:val="center"/>
      </w:pPr>
      <m:oMathPara>
        <m:oMath>
          <m:r>
            <w:rPr>
              <w:rFonts w:ascii="Cambria Math" w:hAnsi="Cambria Math"/>
            </w:rPr>
            <m:t>Prevalanecia del soborno=100*</m:t>
          </m:r>
          <m:f>
            <m:fPr>
              <m:ctrlPr>
                <w:rPr>
                  <w:rFonts w:ascii="Cambria Math" w:hAnsi="Cambria Math"/>
                  <w:i/>
                </w:rPr>
              </m:ctrlPr>
            </m:fPr>
            <m:num>
              <m:r>
                <w:rPr>
                  <w:rFonts w:ascii="Cambria Math" w:hAnsi="Cambria Math"/>
                </w:rPr>
                <m:t>B</m:t>
              </m:r>
            </m:num>
            <m:den>
              <m:r>
                <w:rPr>
                  <w:rFonts w:ascii="Cambria Math" w:hAnsi="Cambria Math"/>
                </w:rPr>
                <m:t>C</m:t>
              </m:r>
            </m:den>
          </m:f>
        </m:oMath>
      </m:oMathPara>
    </w:p>
    <w:p w14:paraId="06FBAB3F" w14:textId="77777777" w:rsidR="00A37B2C" w:rsidRDefault="00A37B2C" w:rsidP="00A37B2C">
      <w:pPr>
        <w:pStyle w:val="MText"/>
      </w:pPr>
    </w:p>
    <w:p w14:paraId="16A932A9" w14:textId="77777777" w:rsidR="00F42CD3" w:rsidRPr="00F42CD3" w:rsidRDefault="00F42CD3" w:rsidP="00F42CD3">
      <w:pPr>
        <w:pStyle w:val="MText"/>
        <w:rPr>
          <w:lang w:val="es-MX"/>
        </w:rPr>
      </w:pPr>
      <w:r w:rsidRPr="00F42CD3">
        <w:rPr>
          <w:lang w:val="es-MX"/>
        </w:rPr>
        <w:t xml:space="preserve">Donde </w:t>
      </w:r>
      <w:r w:rsidRPr="00F42CD3">
        <w:rPr>
          <w:i/>
          <w:iCs/>
          <w:lang w:val="es-MX"/>
        </w:rPr>
        <w:t>B</w:t>
      </w:r>
      <w:r w:rsidRPr="00F42CD3">
        <w:rPr>
          <w:lang w:val="es-MX"/>
        </w:rPr>
        <w:t xml:space="preserve"> se refiere al número de personas que pagaron un soborno o a quienes se les pidió un soborno por parte de un funcionario público en los últimos 12 meses, y </w:t>
      </w:r>
      <w:r w:rsidRPr="00F42CD3">
        <w:rPr>
          <w:i/>
          <w:iCs/>
          <w:lang w:val="es-MX"/>
        </w:rPr>
        <w:t xml:space="preserve">C </w:t>
      </w:r>
      <w:r w:rsidRPr="00F42CD3">
        <w:rPr>
          <w:lang w:val="es-MX"/>
        </w:rPr>
        <w:t>se refiere al número total de personas que tuvieron contacto con funcionarios públicos en los últimos 12 meses.</w:t>
      </w:r>
    </w:p>
    <w:p w14:paraId="492B8071" w14:textId="77777777" w:rsidR="00C0551D" w:rsidRPr="00F42CD3" w:rsidRDefault="00C0551D" w:rsidP="00576CFA">
      <w:pPr>
        <w:pStyle w:val="MText"/>
        <w:rPr>
          <w:lang w:val="es-MX"/>
        </w:rPr>
      </w:pPr>
    </w:p>
    <w:p w14:paraId="514CE3C0" w14:textId="7659DF08" w:rsidR="00E1050F" w:rsidRPr="00F42CD3" w:rsidRDefault="00576CFA" w:rsidP="00F719A8">
      <w:pPr>
        <w:pStyle w:val="MHeader2"/>
        <w:rPr>
          <w:lang w:val="es-MX"/>
        </w:rPr>
      </w:pPr>
      <w:r w:rsidRPr="00F42CD3">
        <w:rPr>
          <w:lang w:val="es-MX"/>
        </w:rPr>
        <w:t xml:space="preserve">4.d. </w:t>
      </w:r>
      <w:bookmarkStart w:id="33" w:name="_Hlk196759875"/>
      <w:r w:rsidR="00303905" w:rsidRPr="009B7554">
        <w:rPr>
          <w:lang w:val="es-MX"/>
        </w:rPr>
        <w:t>Validación</w:t>
      </w:r>
      <w:bookmarkEnd w:id="33"/>
      <w:r w:rsidRPr="00F42CD3">
        <w:rPr>
          <w:lang w:val="es-MX"/>
        </w:rPr>
        <w:t xml:space="preserve"> </w:t>
      </w:r>
      <w:r w:rsidRPr="00F42CD3">
        <w:rPr>
          <w:color w:val="B4B4B4"/>
          <w:sz w:val="20"/>
          <w:lang w:val="es-MX"/>
        </w:rPr>
        <w:t>(DATA_VALIDATION)</w:t>
      </w:r>
    </w:p>
    <w:p w14:paraId="47360B6A" w14:textId="77777777" w:rsidR="00F42CD3" w:rsidRPr="00F42CD3" w:rsidRDefault="00F42CD3" w:rsidP="00F42CD3">
      <w:pPr>
        <w:pStyle w:val="paragraph"/>
        <w:shd w:val="clear" w:color="auto" w:fill="FFFFFF" w:themeFill="background1"/>
        <w:spacing w:before="0" w:beforeAutospacing="0" w:after="0" w:afterAutospacing="0" w:line="276" w:lineRule="auto"/>
        <w:textAlignment w:val="baseline"/>
        <w:rPr>
          <w:rFonts w:asciiTheme="minorHAnsi" w:hAnsiTheme="minorHAnsi"/>
          <w:color w:val="4A4A4A"/>
          <w:sz w:val="21"/>
          <w:szCs w:val="21"/>
          <w:lang w:val="es-MX" w:eastAsia="en-GB"/>
        </w:rPr>
      </w:pPr>
      <w:r w:rsidRPr="00F42CD3">
        <w:rPr>
          <w:rFonts w:asciiTheme="minorHAnsi" w:hAnsiTheme="minorHAnsi"/>
          <w:color w:val="4A4A4A"/>
          <w:sz w:val="21"/>
          <w:szCs w:val="21"/>
          <w:lang w:val="es-MX" w:eastAsia="en-GB"/>
        </w:rPr>
        <w:t>Tras la presentación del cuestionario CTS, la UNODC comprueba la coherencia y la consistencia de los datos presentados con otras fuentes de datos. En el caso de los indicadores basados en encuestas, se evalúan los metadatos en relación con la representatividad y la cobertura de la encuesta, así como la adecuación de la redacción de las preguntas y las opciones de respuesta a las normas internacionales. Los Estados Miembros que también forman parte de la Unión Europea o de la Asociación Europea de Libre Comercio, o que son candidatos o candidatos potenciales a la Unión Europea, envían sus respuestas al CTS de las Naciones Unidas a Eurostat para su validación. La Organización de los Estados Americanos también examina las respuestas de sus Estados Miembros. Todos los datos presentados por los Estados Miembros por otros medios o tomados de otras fuentes se añaden al conjunto de datos tras su examen y validación por los Estados Miembros.</w:t>
      </w:r>
    </w:p>
    <w:p w14:paraId="0A4A1ABA" w14:textId="1346C80C" w:rsidR="00392B2E" w:rsidRPr="00F42CD3" w:rsidRDefault="00392B2E" w:rsidP="00F42CD3">
      <w:pPr>
        <w:pStyle w:val="paragraph"/>
        <w:shd w:val="clear" w:color="auto" w:fill="FFFFFF" w:themeFill="background1"/>
        <w:spacing w:before="0" w:beforeAutospacing="0" w:after="0" w:afterAutospacing="0" w:line="276" w:lineRule="auto"/>
        <w:textAlignment w:val="baseline"/>
        <w:rPr>
          <w:rFonts w:asciiTheme="minorHAnsi" w:hAnsiTheme="minorHAnsi"/>
          <w:color w:val="4A4A4A"/>
          <w:sz w:val="21"/>
          <w:szCs w:val="21"/>
          <w:lang w:val="es-MX" w:eastAsia="en-GB"/>
        </w:rPr>
      </w:pPr>
      <w:r w:rsidRPr="00F42CD3">
        <w:rPr>
          <w:rFonts w:asciiTheme="minorHAnsi" w:hAnsiTheme="minorHAnsi"/>
          <w:color w:val="4A4A4A"/>
          <w:lang w:val="es-MX" w:eastAsia="en-GB"/>
        </w:rPr>
        <w:t> </w:t>
      </w:r>
    </w:p>
    <w:p w14:paraId="2CF2A343" w14:textId="4D40A4A2" w:rsidR="00E1050F" w:rsidRPr="004A7B4B" w:rsidRDefault="00E1050F" w:rsidP="00F719A8">
      <w:pPr>
        <w:pStyle w:val="MHeader2"/>
        <w:rPr>
          <w:lang w:val="pt-BR"/>
        </w:rPr>
      </w:pPr>
      <w:r w:rsidRPr="004A7B4B">
        <w:rPr>
          <w:lang w:val="pt-BR"/>
        </w:rPr>
        <w:t xml:space="preserve">4.e. </w:t>
      </w:r>
      <w:bookmarkStart w:id="34" w:name="_Hlk196759883"/>
      <w:r w:rsidR="00303905" w:rsidRPr="004A7B4B">
        <w:rPr>
          <w:lang w:val="pt-BR"/>
        </w:rPr>
        <w:t>Ajustes</w:t>
      </w:r>
      <w:bookmarkEnd w:id="34"/>
      <w:r w:rsidRPr="004A7B4B">
        <w:rPr>
          <w:lang w:val="pt-BR"/>
        </w:rPr>
        <w:t xml:space="preserve"> </w:t>
      </w:r>
      <w:r w:rsidRPr="004A7B4B">
        <w:rPr>
          <w:color w:val="B4B4B4"/>
          <w:sz w:val="20"/>
          <w:lang w:val="pt-BR"/>
        </w:rPr>
        <w:t>(ADJUSTMENT)</w:t>
      </w:r>
    </w:p>
    <w:p w14:paraId="6D258644" w14:textId="35533D91" w:rsidR="00242041" w:rsidRPr="004A7B4B" w:rsidRDefault="00F42CD3" w:rsidP="00576CFA">
      <w:pPr>
        <w:pStyle w:val="MText"/>
        <w:rPr>
          <w:lang w:val="pt-BR"/>
        </w:rPr>
      </w:pPr>
      <w:r w:rsidRPr="004A7B4B">
        <w:rPr>
          <w:lang w:val="pt-BR"/>
        </w:rPr>
        <w:lastRenderedPageBreak/>
        <w:t>No aplica.</w:t>
      </w:r>
    </w:p>
    <w:p w14:paraId="45B1D666" w14:textId="77777777" w:rsidR="00242041" w:rsidRPr="004A7B4B" w:rsidRDefault="00242041" w:rsidP="00576CFA">
      <w:pPr>
        <w:pStyle w:val="MText"/>
        <w:rPr>
          <w:lang w:val="pt-BR"/>
        </w:rPr>
      </w:pPr>
    </w:p>
    <w:p w14:paraId="67043C18" w14:textId="5C374A96" w:rsidR="00D51E7C" w:rsidRPr="00303905" w:rsidRDefault="00576CFA" w:rsidP="00293F57">
      <w:pPr>
        <w:pStyle w:val="MHeader2"/>
        <w:rPr>
          <w:lang w:val="es-MX"/>
        </w:rPr>
      </w:pPr>
      <w:r w:rsidRPr="00303905">
        <w:rPr>
          <w:lang w:val="es-MX"/>
        </w:rPr>
        <w:t xml:space="preserve">4.f. </w:t>
      </w:r>
      <w:bookmarkStart w:id="35" w:name="_Hlk196759892"/>
      <w:r w:rsidR="00303905" w:rsidRPr="0063163D">
        <w:rPr>
          <w:lang w:val="es-MX"/>
        </w:rPr>
        <w:t xml:space="preserve">Tratamiento de los valores faltantes (i) a </w:t>
      </w:r>
      <w:r w:rsidR="00303905">
        <w:rPr>
          <w:lang w:val="es-MX"/>
        </w:rPr>
        <w:t>nivel país y</w:t>
      </w:r>
      <w:r w:rsidR="00303905" w:rsidRPr="0063163D">
        <w:rPr>
          <w:lang w:val="es-MX"/>
        </w:rPr>
        <w:t xml:space="preserve"> (</w:t>
      </w:r>
      <w:proofErr w:type="spellStart"/>
      <w:r w:rsidR="00303905" w:rsidRPr="0063163D">
        <w:rPr>
          <w:lang w:val="es-MX"/>
        </w:rPr>
        <w:t>ii</w:t>
      </w:r>
      <w:proofErr w:type="spellEnd"/>
      <w:r w:rsidR="00303905" w:rsidRPr="0063163D">
        <w:rPr>
          <w:lang w:val="es-MX"/>
        </w:rPr>
        <w:t>) a</w:t>
      </w:r>
      <w:r w:rsidR="00303905">
        <w:rPr>
          <w:lang w:val="es-MX"/>
        </w:rPr>
        <w:t xml:space="preserve"> nivel regional</w:t>
      </w:r>
      <w:bookmarkEnd w:id="35"/>
      <w:r w:rsidR="00303905" w:rsidRPr="0063163D">
        <w:rPr>
          <w:lang w:val="es-MX"/>
        </w:rPr>
        <w:t xml:space="preserve"> </w:t>
      </w:r>
      <w:r w:rsidRPr="00303905">
        <w:rPr>
          <w:color w:val="B4B4B4"/>
          <w:sz w:val="20"/>
          <w:lang w:val="es-MX"/>
        </w:rPr>
        <w:t>(IMPUTATION)</w:t>
      </w:r>
    </w:p>
    <w:p w14:paraId="58DCB865" w14:textId="2BBE6C05" w:rsidR="00D51E7C" w:rsidRPr="00303905" w:rsidRDefault="00D51E7C" w:rsidP="00D51E7C">
      <w:pPr>
        <w:pStyle w:val="MText"/>
        <w:rPr>
          <w:b/>
          <w:bCs/>
          <w:lang w:val="es-MX"/>
        </w:rPr>
      </w:pPr>
      <w:r w:rsidRPr="004A7B4B">
        <w:rPr>
          <w:b/>
          <w:bCs/>
          <w:lang w:val="es-MX"/>
        </w:rPr>
        <w:t>•</w:t>
      </w:r>
      <w:r w:rsidRPr="004A7B4B">
        <w:rPr>
          <w:b/>
          <w:bCs/>
          <w:lang w:val="es-MX"/>
        </w:rPr>
        <w:tab/>
      </w:r>
      <w:bookmarkStart w:id="36" w:name="_Hlk196759900"/>
      <w:r w:rsidR="00303905" w:rsidRPr="009B7554">
        <w:rPr>
          <w:b/>
          <w:bCs/>
          <w:lang w:val="es-MX"/>
        </w:rPr>
        <w:t>A nivel país</w:t>
      </w:r>
      <w:bookmarkEnd w:id="36"/>
    </w:p>
    <w:p w14:paraId="601A5053" w14:textId="77777777" w:rsidR="00F42CD3" w:rsidRPr="00F42CD3" w:rsidRDefault="00F42CD3" w:rsidP="00F42CD3">
      <w:pPr>
        <w:pStyle w:val="MText"/>
        <w:rPr>
          <w:lang w:val="es-MX"/>
        </w:rPr>
      </w:pPr>
      <w:r w:rsidRPr="00F42CD3">
        <w:rPr>
          <w:lang w:val="es-MX"/>
        </w:rPr>
        <w:t>No se imputan los valores que faltan.</w:t>
      </w:r>
    </w:p>
    <w:p w14:paraId="1B6182A5" w14:textId="54983DC5" w:rsidR="00D51E7C" w:rsidRPr="00F42CD3" w:rsidRDefault="00D51E7C" w:rsidP="00D51E7C">
      <w:pPr>
        <w:pStyle w:val="MText"/>
        <w:rPr>
          <w:highlight w:val="cyan"/>
          <w:lang w:val="es-MX"/>
        </w:rPr>
      </w:pPr>
    </w:p>
    <w:p w14:paraId="06DDC253" w14:textId="56AA4B4C" w:rsidR="00D51E7C" w:rsidRPr="00F42CD3" w:rsidRDefault="00D51E7C" w:rsidP="00D51E7C">
      <w:pPr>
        <w:pStyle w:val="MText"/>
        <w:rPr>
          <w:b/>
          <w:bCs/>
          <w:lang w:val="es-MX"/>
        </w:rPr>
      </w:pPr>
      <w:bookmarkStart w:id="37" w:name="_Hlk129176078"/>
      <w:r w:rsidRPr="00F42CD3">
        <w:rPr>
          <w:b/>
          <w:bCs/>
          <w:lang w:val="es-MX"/>
        </w:rPr>
        <w:t>•</w:t>
      </w:r>
      <w:r w:rsidRPr="00F42CD3">
        <w:rPr>
          <w:b/>
          <w:bCs/>
          <w:lang w:val="es-MX"/>
        </w:rPr>
        <w:tab/>
      </w:r>
      <w:r w:rsidR="00303905" w:rsidRPr="009B7554">
        <w:rPr>
          <w:b/>
          <w:bCs/>
          <w:lang w:val="es-MX"/>
        </w:rPr>
        <w:t>A nivel regional y m</w:t>
      </w:r>
      <w:r w:rsidR="00303905">
        <w:rPr>
          <w:b/>
          <w:bCs/>
          <w:lang w:val="es-MX"/>
        </w:rPr>
        <w:t>undial</w:t>
      </w:r>
    </w:p>
    <w:p w14:paraId="66CB1912" w14:textId="6A7C7B63" w:rsidR="00293F57" w:rsidRPr="00F42CD3" w:rsidRDefault="00F42CD3" w:rsidP="00D51E7C">
      <w:pPr>
        <w:pStyle w:val="MText"/>
        <w:rPr>
          <w:lang w:val="es-MX"/>
        </w:rPr>
      </w:pPr>
      <w:r w:rsidRPr="00F42CD3">
        <w:rPr>
          <w:lang w:val="es-MX"/>
        </w:rPr>
        <w:t xml:space="preserve">No aplica. </w:t>
      </w:r>
    </w:p>
    <w:bookmarkEnd w:id="37"/>
    <w:p w14:paraId="27033367" w14:textId="77777777" w:rsidR="00EC2915" w:rsidRPr="00F42CD3" w:rsidRDefault="00EC2915" w:rsidP="00576CFA">
      <w:pPr>
        <w:pStyle w:val="MText"/>
        <w:rPr>
          <w:lang w:val="es-MX"/>
        </w:rPr>
      </w:pPr>
    </w:p>
    <w:p w14:paraId="51FCD280" w14:textId="561B6C85" w:rsidR="00E1050F" w:rsidRPr="00303905" w:rsidRDefault="00E1050F" w:rsidP="00F719A8">
      <w:pPr>
        <w:pStyle w:val="MHeader2"/>
        <w:rPr>
          <w:lang w:val="es-MX"/>
        </w:rPr>
      </w:pPr>
      <w:r w:rsidRPr="00303905">
        <w:rPr>
          <w:lang w:val="es-MX"/>
        </w:rPr>
        <w:t xml:space="preserve">4.g. </w:t>
      </w:r>
      <w:bookmarkStart w:id="38" w:name="_Hlk196759916"/>
      <w:r w:rsidR="00303905" w:rsidRPr="0063163D">
        <w:rPr>
          <w:lang w:val="es-MX"/>
        </w:rPr>
        <w:t>Agregados regionales</w:t>
      </w:r>
      <w:bookmarkEnd w:id="38"/>
      <w:r w:rsidR="00303905" w:rsidRPr="0063163D">
        <w:rPr>
          <w:lang w:val="es-MX"/>
        </w:rPr>
        <w:t xml:space="preserve"> </w:t>
      </w:r>
      <w:r w:rsidRPr="00303905">
        <w:rPr>
          <w:color w:val="B4B4B4"/>
          <w:sz w:val="20"/>
          <w:lang w:val="es-MX"/>
        </w:rPr>
        <w:t>(REG_AGG)</w:t>
      </w:r>
    </w:p>
    <w:p w14:paraId="2EA010B7" w14:textId="18398C5C" w:rsidR="00EC2915" w:rsidRPr="004A7B4B" w:rsidRDefault="00F42CD3" w:rsidP="00576CFA">
      <w:pPr>
        <w:pStyle w:val="MText"/>
        <w:rPr>
          <w:lang w:val="es-MX"/>
        </w:rPr>
      </w:pPr>
      <w:r w:rsidRPr="004A7B4B">
        <w:rPr>
          <w:lang w:val="es-MX"/>
        </w:rPr>
        <w:t xml:space="preserve">No aplica. </w:t>
      </w:r>
    </w:p>
    <w:p w14:paraId="1FE086FB" w14:textId="77777777" w:rsidR="00282371" w:rsidRPr="004A7B4B" w:rsidRDefault="00282371" w:rsidP="00576CFA">
      <w:pPr>
        <w:pStyle w:val="MText"/>
        <w:rPr>
          <w:lang w:val="es-MX"/>
        </w:rPr>
      </w:pPr>
    </w:p>
    <w:p w14:paraId="71213FF2" w14:textId="79C16F1E" w:rsidR="00E1050F" w:rsidRPr="00303905" w:rsidRDefault="00576CFA" w:rsidP="00F719A8">
      <w:pPr>
        <w:pStyle w:val="MHeader2"/>
        <w:rPr>
          <w:lang w:val="es-MX"/>
        </w:rPr>
      </w:pPr>
      <w:r w:rsidRPr="00303905">
        <w:rPr>
          <w:lang w:val="es-MX"/>
        </w:rPr>
        <w:t xml:space="preserve">4.h. </w:t>
      </w:r>
      <w:bookmarkStart w:id="39" w:name="_Hlk196759925"/>
      <w:r w:rsidR="00303905" w:rsidRPr="0063163D">
        <w:rPr>
          <w:lang w:val="es-MX"/>
        </w:rPr>
        <w:t>Métodos y orientación a disposición de los países pa</w:t>
      </w:r>
      <w:r w:rsidR="00303905">
        <w:rPr>
          <w:lang w:val="es-MX"/>
        </w:rPr>
        <w:t>ra la recolección de los datos a nivel nacional</w:t>
      </w:r>
      <w:bookmarkEnd w:id="39"/>
      <w:r w:rsidR="00303905" w:rsidRPr="0063163D">
        <w:rPr>
          <w:lang w:val="es-MX"/>
        </w:rPr>
        <w:t xml:space="preserve"> </w:t>
      </w:r>
      <w:r w:rsidRPr="00303905">
        <w:rPr>
          <w:color w:val="B4B4B4"/>
          <w:sz w:val="20"/>
          <w:lang w:val="es-MX"/>
        </w:rPr>
        <w:t>(DOC_METHOD)</w:t>
      </w:r>
    </w:p>
    <w:p w14:paraId="1E4344DE" w14:textId="27994200" w:rsidR="008512AC" w:rsidRPr="008512AC" w:rsidRDefault="008512AC" w:rsidP="008512AC">
      <w:pPr>
        <w:pStyle w:val="MText"/>
        <w:rPr>
          <w:lang w:val="es-MX"/>
        </w:rPr>
      </w:pPr>
      <w:r w:rsidRPr="008512AC">
        <w:rPr>
          <w:lang w:val="es-MX"/>
        </w:rPr>
        <w:t xml:space="preserve">En 2018, la UNODC, junto con el Programa de las Naciones Unidas para el Desarrollo (PNUD) y el Centro de Excelencia UNODC-INEGI, publicó el Manual sobre </w:t>
      </w:r>
      <w:r w:rsidR="004A7B4B">
        <w:rPr>
          <w:lang w:val="es-MX"/>
        </w:rPr>
        <w:t>E</w:t>
      </w:r>
      <w:r w:rsidRPr="008512AC">
        <w:rPr>
          <w:lang w:val="es-MX"/>
        </w:rPr>
        <w:t xml:space="preserve">ncuestas de </w:t>
      </w:r>
      <w:r w:rsidR="004A7B4B">
        <w:rPr>
          <w:lang w:val="es-MX"/>
        </w:rPr>
        <w:t>C</w:t>
      </w:r>
      <w:r w:rsidRPr="008512AC">
        <w:rPr>
          <w:lang w:val="es-MX"/>
        </w:rPr>
        <w:t xml:space="preserve">orrupción, que proporciona a los Estados Miembros directrices detalladas no solo para planificar y realizar encuestas sobre corrupción, sino también para analizar y comunicar los datos de dichas encuestas. El Manual trata de las encuestas sobre corrupción entre la población en general y entre las empresas. El Manual está disponible en varios idiomas de las Naciones Unidas en: </w:t>
      </w:r>
    </w:p>
    <w:p w14:paraId="2939895F" w14:textId="17FF0754" w:rsidR="00EC2915" w:rsidRPr="008512AC" w:rsidRDefault="008512AC" w:rsidP="005629A1">
      <w:pPr>
        <w:pStyle w:val="MText"/>
        <w:rPr>
          <w:lang w:val="es-MX"/>
        </w:rPr>
      </w:pPr>
      <w:hyperlink r:id="rId13" w:history="1">
        <w:r w:rsidRPr="008512AC">
          <w:rPr>
            <w:rStyle w:val="Hipervnculo"/>
            <w:lang w:val="es-MX"/>
          </w:rPr>
          <w:t>https://www.unodc.org/unodc/data-and-analysis/corruption-manuals.html</w:t>
        </w:r>
      </w:hyperlink>
      <w:r w:rsidR="00F20FB5" w:rsidRPr="008512AC">
        <w:rPr>
          <w:lang w:val="es-MX"/>
        </w:rPr>
        <w:t xml:space="preserve"> </w:t>
      </w:r>
    </w:p>
    <w:p w14:paraId="2F983427" w14:textId="77777777" w:rsidR="00F91049" w:rsidRPr="008512AC" w:rsidRDefault="00F91049" w:rsidP="00576CFA">
      <w:pPr>
        <w:pStyle w:val="MText"/>
        <w:rPr>
          <w:lang w:val="es-MX"/>
        </w:rPr>
      </w:pPr>
    </w:p>
    <w:p w14:paraId="022AF511" w14:textId="5E30522E" w:rsidR="008512AC" w:rsidRPr="008512AC" w:rsidRDefault="008512AC" w:rsidP="008512AC">
      <w:pPr>
        <w:shd w:val="clear" w:color="auto" w:fill="FFFFFF"/>
        <w:spacing w:after="0"/>
        <w:rPr>
          <w:rFonts w:eastAsia="Times New Roman"/>
          <w:color w:val="4A4A4A"/>
          <w:sz w:val="21"/>
          <w:szCs w:val="21"/>
          <w:lang w:val="es-MX" w:eastAsia="en-GB"/>
        </w:rPr>
      </w:pPr>
      <w:r w:rsidRPr="008512AC">
        <w:rPr>
          <w:rFonts w:eastAsia="Times New Roman"/>
          <w:color w:val="4A4A4A"/>
          <w:sz w:val="21"/>
          <w:szCs w:val="21"/>
          <w:lang w:val="es-MX" w:eastAsia="en-GB"/>
        </w:rPr>
        <w:t>En 2022, la Oficina de las Naciones Unidas contra la Droga y el Delito (UNODC), junto con el Programa de las Naciones Unidas para el Desarrollo (PNUD) y la Oficina del Alto Comisionado de las Naciones Unidas para los Derechos Humanos (OHCHR) publicaron el Cuestionario y Manual de Implementación del ODS 16, que contiene preguntas estandarizadas a nivel internacional (en los cinco idiomas oficiales de las Naciones Unidas), así como orientación para la implementación relacionada con este indicador. El cuestionario y el manual están disponibles en varios idiomas en:</w:t>
      </w:r>
    </w:p>
    <w:p w14:paraId="508FEEE2" w14:textId="45082C0C" w:rsidR="007D0060" w:rsidRPr="008512AC" w:rsidRDefault="007D0060" w:rsidP="007D0060">
      <w:pPr>
        <w:shd w:val="clear" w:color="auto" w:fill="FFFFFF"/>
        <w:spacing w:after="0"/>
        <w:rPr>
          <w:rFonts w:eastAsia="Times New Roman" w:cs="Times New Roman"/>
          <w:color w:val="4A4A4A"/>
          <w:sz w:val="21"/>
          <w:szCs w:val="21"/>
          <w:lang w:val="es-MX" w:eastAsia="en-GB"/>
        </w:rPr>
      </w:pPr>
    </w:p>
    <w:p w14:paraId="3CCC43AC" w14:textId="77777777" w:rsidR="007D0060" w:rsidRPr="004A7B4B" w:rsidRDefault="007D0060" w:rsidP="007D0060">
      <w:pPr>
        <w:shd w:val="clear" w:color="auto" w:fill="FFFFFF"/>
        <w:spacing w:after="0"/>
        <w:rPr>
          <w:rFonts w:eastAsia="Times New Roman" w:cs="Times New Roman"/>
          <w:color w:val="4A4A4A"/>
          <w:sz w:val="21"/>
          <w:szCs w:val="21"/>
          <w:lang w:val="es-MX" w:eastAsia="en-GB"/>
        </w:rPr>
      </w:pPr>
      <w:hyperlink r:id="rId14" w:history="1">
        <w:r w:rsidRPr="004A7B4B">
          <w:rPr>
            <w:rStyle w:val="Hipervnculo"/>
            <w:rFonts w:eastAsia="Times New Roman" w:cs="Times New Roman"/>
            <w:sz w:val="21"/>
            <w:szCs w:val="21"/>
            <w:lang w:val="es-MX" w:eastAsia="en-GB"/>
          </w:rPr>
          <w:t>https://www.sdg16hub.org/topic/sdg-16-survey-initiative-questionnaire</w:t>
        </w:r>
      </w:hyperlink>
    </w:p>
    <w:p w14:paraId="034CE2B9" w14:textId="77777777" w:rsidR="007D0060" w:rsidRPr="004A7B4B" w:rsidRDefault="007D0060" w:rsidP="007D0060">
      <w:pPr>
        <w:shd w:val="clear" w:color="auto" w:fill="FFFFFF"/>
        <w:spacing w:after="0"/>
        <w:rPr>
          <w:rFonts w:eastAsia="Times New Roman" w:cs="Times New Roman"/>
          <w:color w:val="4A4A4A"/>
          <w:sz w:val="21"/>
          <w:szCs w:val="21"/>
          <w:lang w:val="es-MX" w:eastAsia="en-GB"/>
        </w:rPr>
      </w:pPr>
      <w:hyperlink r:id="rId15" w:history="1">
        <w:r w:rsidRPr="004A7B4B">
          <w:rPr>
            <w:rStyle w:val="Hipervnculo"/>
            <w:rFonts w:eastAsia="Times New Roman" w:cs="Times New Roman"/>
            <w:sz w:val="21"/>
            <w:szCs w:val="21"/>
            <w:lang w:val="es-MX" w:eastAsia="en-GB"/>
          </w:rPr>
          <w:t>https://www.sdg16hub.org/topic/sdg-16-survey-initiative-implementation-manual</w:t>
        </w:r>
      </w:hyperlink>
      <w:r w:rsidRPr="004A7B4B">
        <w:rPr>
          <w:rFonts w:eastAsia="Times New Roman" w:cs="Times New Roman"/>
          <w:color w:val="4A4A4A"/>
          <w:sz w:val="21"/>
          <w:szCs w:val="21"/>
          <w:lang w:val="es-MX" w:eastAsia="en-GB"/>
        </w:rPr>
        <w:t xml:space="preserve"> </w:t>
      </w:r>
    </w:p>
    <w:p w14:paraId="350FBA73" w14:textId="77777777" w:rsidR="00F91049" w:rsidRPr="004A7B4B" w:rsidRDefault="00F91049" w:rsidP="00576CFA">
      <w:pPr>
        <w:pStyle w:val="MText"/>
        <w:rPr>
          <w:lang w:val="es-MX"/>
        </w:rPr>
      </w:pPr>
    </w:p>
    <w:p w14:paraId="74A3B43A" w14:textId="42B5670F" w:rsidR="008F7B64" w:rsidRDefault="008512AC" w:rsidP="00576CFA">
      <w:pPr>
        <w:pStyle w:val="MText"/>
        <w:rPr>
          <w:lang w:val="es-MX"/>
        </w:rPr>
      </w:pPr>
      <w:r w:rsidRPr="008512AC">
        <w:rPr>
          <w:lang w:val="es-MX"/>
        </w:rPr>
        <w:t>UNODC. 2023. Marco estadístico para medir la corrupción.</w:t>
      </w:r>
    </w:p>
    <w:p w14:paraId="520B1057" w14:textId="77777777" w:rsidR="008512AC" w:rsidRPr="008512AC" w:rsidRDefault="008512AC" w:rsidP="00576CFA">
      <w:pPr>
        <w:pStyle w:val="MText"/>
        <w:rPr>
          <w:lang w:val="es-MX"/>
        </w:rPr>
      </w:pPr>
    </w:p>
    <w:p w14:paraId="494C36E8" w14:textId="44105D63" w:rsidR="00E1050F" w:rsidRPr="00303905" w:rsidRDefault="00576CFA" w:rsidP="00F719A8">
      <w:pPr>
        <w:pStyle w:val="MHeader2"/>
        <w:rPr>
          <w:lang w:val="es-MX"/>
        </w:rPr>
      </w:pPr>
      <w:r w:rsidRPr="00303905">
        <w:rPr>
          <w:lang w:val="es-MX"/>
        </w:rPr>
        <w:t xml:space="preserve">4.i. </w:t>
      </w:r>
      <w:bookmarkStart w:id="40" w:name="_Hlk196759932"/>
      <w:r w:rsidR="00303905" w:rsidRPr="0063163D">
        <w:rPr>
          <w:lang w:val="es-MX"/>
        </w:rPr>
        <w:t>Gestión de calidad</w:t>
      </w:r>
      <w:bookmarkEnd w:id="40"/>
      <w:r w:rsidR="00303905" w:rsidRPr="0063163D">
        <w:rPr>
          <w:lang w:val="es-MX"/>
        </w:rPr>
        <w:t xml:space="preserve"> </w:t>
      </w:r>
      <w:r w:rsidRPr="00303905">
        <w:rPr>
          <w:color w:val="B4B4B4"/>
          <w:sz w:val="20"/>
          <w:lang w:val="es-MX"/>
        </w:rPr>
        <w:t>(QUALITY_MGMNT)</w:t>
      </w:r>
    </w:p>
    <w:p w14:paraId="5484B16D" w14:textId="654AAA42" w:rsidR="00EC2915" w:rsidRDefault="007B1738" w:rsidP="00576CFA">
      <w:pPr>
        <w:pStyle w:val="MText"/>
        <w:rPr>
          <w:lang w:val="es-MX"/>
        </w:rPr>
      </w:pPr>
      <w:r w:rsidRPr="007B1738">
        <w:rPr>
          <w:lang w:val="es-MX"/>
        </w:rPr>
        <w:t>La Oficina de las Naciones Unidas contra la Droga y el Delito (UNODC) cuenta con una sección de estadística con personal dedicado a apoyar la recopilación de datos mediante asistencia técnica, cotejando y verificando los datos recibidos y mejorando continuamente los mecanismos de recopilación de datos, incluidas las directrices.</w:t>
      </w:r>
    </w:p>
    <w:p w14:paraId="52AF034A" w14:textId="77777777" w:rsidR="007B1738" w:rsidRPr="007B1738" w:rsidRDefault="007B1738" w:rsidP="00576CFA">
      <w:pPr>
        <w:pStyle w:val="MText"/>
        <w:rPr>
          <w:lang w:val="es-MX"/>
        </w:rPr>
      </w:pPr>
    </w:p>
    <w:p w14:paraId="17B979CA" w14:textId="18F81D6A" w:rsidR="00E1050F" w:rsidRPr="00303905" w:rsidRDefault="00E1050F" w:rsidP="00F719A8">
      <w:pPr>
        <w:pStyle w:val="MHeader2"/>
        <w:rPr>
          <w:lang w:val="es-MX"/>
        </w:rPr>
      </w:pPr>
      <w:r w:rsidRPr="00303905">
        <w:rPr>
          <w:lang w:val="es-MX"/>
        </w:rPr>
        <w:t xml:space="preserve">4.j </w:t>
      </w:r>
      <w:bookmarkStart w:id="41" w:name="_Hlk196759938"/>
      <w:r w:rsidR="00303905" w:rsidRPr="0063163D">
        <w:rPr>
          <w:lang w:val="es-MX"/>
        </w:rPr>
        <w:t>Aseguramiento de calidad</w:t>
      </w:r>
      <w:bookmarkEnd w:id="41"/>
      <w:r w:rsidR="00303905" w:rsidRPr="0063163D">
        <w:rPr>
          <w:lang w:val="es-MX"/>
        </w:rPr>
        <w:t xml:space="preserve"> </w:t>
      </w:r>
      <w:r w:rsidRPr="00303905">
        <w:rPr>
          <w:color w:val="B4B4B4"/>
          <w:sz w:val="20"/>
          <w:lang w:val="es-MX"/>
        </w:rPr>
        <w:t>(QUALITY_ASSURE)</w:t>
      </w:r>
    </w:p>
    <w:p w14:paraId="03EF3244" w14:textId="77777777" w:rsidR="00EC2915" w:rsidRPr="00303905" w:rsidRDefault="00EC2915" w:rsidP="00576CFA">
      <w:pPr>
        <w:pStyle w:val="MText"/>
        <w:rPr>
          <w:lang w:val="es-MX"/>
        </w:rPr>
      </w:pPr>
    </w:p>
    <w:p w14:paraId="5627D507" w14:textId="77777777" w:rsidR="007B1738" w:rsidRPr="007B1738" w:rsidRDefault="007B1738" w:rsidP="007B1738">
      <w:pPr>
        <w:pStyle w:val="MText"/>
        <w:rPr>
          <w:lang w:val="es-MX"/>
        </w:rPr>
      </w:pPr>
      <w:r w:rsidRPr="007B1738">
        <w:rPr>
          <w:lang w:val="es-MX"/>
        </w:rPr>
        <w:lastRenderedPageBreak/>
        <w:t>Se recomienda que las oficinas nacionales de estadística (ONE) actúen como principal punto de contacto para recopilar y garantizar la calidad de los datos necesarios para informar sobre el ODS 16.5.1, en estrecha coordinación con otros organismos pertinentes del país. Se han establecido procedimientos de validación automatizados y sustantivos para que los organismos custodios de los datos evalúen su coherencia y conformidad con las normas cuando los procesan.</w:t>
      </w:r>
    </w:p>
    <w:p w14:paraId="4B90636A" w14:textId="77777777" w:rsidR="00EA2DE3" w:rsidRPr="007B1738" w:rsidRDefault="00EA2DE3" w:rsidP="00576CFA">
      <w:pPr>
        <w:pStyle w:val="MText"/>
        <w:rPr>
          <w:lang w:val="es-MX"/>
        </w:rPr>
      </w:pPr>
    </w:p>
    <w:p w14:paraId="34ADD322" w14:textId="7FE31D80" w:rsidR="00E1050F" w:rsidRPr="00303905" w:rsidRDefault="00576CFA" w:rsidP="00F719A8">
      <w:pPr>
        <w:pStyle w:val="MHeader2"/>
        <w:rPr>
          <w:lang w:val="es-MX"/>
        </w:rPr>
      </w:pPr>
      <w:r w:rsidRPr="00303905">
        <w:rPr>
          <w:lang w:val="es-MX"/>
        </w:rPr>
        <w:t xml:space="preserve">4.k </w:t>
      </w:r>
      <w:bookmarkStart w:id="42" w:name="_Hlk196759945"/>
      <w:r w:rsidR="00303905" w:rsidRPr="0063163D">
        <w:rPr>
          <w:lang w:val="es-MX"/>
        </w:rPr>
        <w:t>Evaluación de calidad</w:t>
      </w:r>
      <w:bookmarkEnd w:id="42"/>
      <w:r w:rsidR="00303905" w:rsidRPr="0063163D">
        <w:rPr>
          <w:lang w:val="es-MX"/>
        </w:rPr>
        <w:t xml:space="preserve"> </w:t>
      </w:r>
      <w:r w:rsidRPr="00303905">
        <w:rPr>
          <w:color w:val="B4B4B4"/>
          <w:sz w:val="20"/>
          <w:lang w:val="es-MX"/>
        </w:rPr>
        <w:t>(QUALITY_ASSMNT)</w:t>
      </w:r>
    </w:p>
    <w:p w14:paraId="4042A9E7" w14:textId="77777777" w:rsidR="007B1738" w:rsidRPr="007B1738" w:rsidRDefault="007B1738" w:rsidP="007B1738">
      <w:pPr>
        <w:pStyle w:val="MText"/>
        <w:rPr>
          <w:lang w:val="es-MX"/>
        </w:rPr>
      </w:pPr>
      <w:r w:rsidRPr="007B1738">
        <w:rPr>
          <w:lang w:val="es-MX"/>
        </w:rPr>
        <w:t>Véase la sección 4.d Validación.</w:t>
      </w:r>
    </w:p>
    <w:p w14:paraId="5B7C52CE" w14:textId="77777777" w:rsidR="00576CFA" w:rsidRPr="007B1738" w:rsidRDefault="00576CFA" w:rsidP="00576CFA">
      <w:pPr>
        <w:pStyle w:val="MText"/>
        <w:rPr>
          <w:lang w:val="es-MX"/>
        </w:rPr>
      </w:pPr>
    </w:p>
    <w:p w14:paraId="760C013A" w14:textId="2A3AB6FE" w:rsidR="00D51E7C" w:rsidRPr="00303905" w:rsidRDefault="00576CFA" w:rsidP="00293F57">
      <w:pPr>
        <w:pStyle w:val="MHeader"/>
        <w:spacing w:after="100"/>
        <w:rPr>
          <w:lang w:val="es-MX"/>
        </w:rPr>
      </w:pPr>
      <w:r w:rsidRPr="00303905">
        <w:rPr>
          <w:lang w:val="es-MX"/>
        </w:rPr>
        <w:t xml:space="preserve">5. </w:t>
      </w:r>
      <w:bookmarkStart w:id="43" w:name="_Hlk196759953"/>
      <w:r w:rsidR="00303905" w:rsidRPr="0063163D">
        <w:rPr>
          <w:lang w:val="es-MX"/>
        </w:rPr>
        <w:t>Disponibilidad y desagregación de datos</w:t>
      </w:r>
      <w:bookmarkEnd w:id="43"/>
      <w:r w:rsidR="00303905" w:rsidRPr="0063163D">
        <w:rPr>
          <w:lang w:val="es-MX"/>
        </w:rPr>
        <w:t xml:space="preserve"> </w:t>
      </w:r>
      <w:r w:rsidRPr="00303905">
        <w:rPr>
          <w:color w:val="B4B4B4"/>
          <w:sz w:val="20"/>
          <w:lang w:val="es-MX"/>
        </w:rPr>
        <w:t>(COVERAGE)</w:t>
      </w:r>
    </w:p>
    <w:p w14:paraId="78D07247" w14:textId="77777777" w:rsidR="00303905" w:rsidRPr="004A7B4B" w:rsidRDefault="00303905" w:rsidP="00303905">
      <w:pPr>
        <w:pStyle w:val="MText"/>
        <w:rPr>
          <w:b/>
          <w:bCs/>
          <w:lang w:val="es-MX"/>
        </w:rPr>
      </w:pPr>
      <w:bookmarkStart w:id="44" w:name="_Hlk196759958"/>
      <w:r w:rsidRPr="004A7B4B">
        <w:rPr>
          <w:b/>
          <w:bCs/>
          <w:lang w:val="es-MX"/>
        </w:rPr>
        <w:t>Disponibilidad de datos:</w:t>
      </w:r>
    </w:p>
    <w:bookmarkEnd w:id="44"/>
    <w:p w14:paraId="72037FE0" w14:textId="308C83EF" w:rsidR="00F20FB5" w:rsidRDefault="007B1738" w:rsidP="00293F57">
      <w:pPr>
        <w:pStyle w:val="MText"/>
        <w:rPr>
          <w:lang w:val="es-MX"/>
        </w:rPr>
      </w:pPr>
      <w:r w:rsidRPr="007B1738">
        <w:rPr>
          <w:lang w:val="es-MX"/>
        </w:rPr>
        <w:t>Más de 120 países cuentan con al menos un dato sobre la prevalencia del soborno basado en una encuesta representativa a nivel nacional. Un número cada vez mayor de países está llevando a cabo encuestas con metodologías similares para evaluar la prevalencia de las experiencias de soborno entre la población. Sin embargo, la escala y los métodos de administración de las encuestas varían.</w:t>
      </w:r>
    </w:p>
    <w:p w14:paraId="4B791B2E" w14:textId="77777777" w:rsidR="007B1738" w:rsidRPr="007B1738" w:rsidRDefault="007B1738" w:rsidP="00293F57">
      <w:pPr>
        <w:pStyle w:val="MText"/>
        <w:rPr>
          <w:b/>
          <w:lang w:val="es-MX"/>
        </w:rPr>
      </w:pPr>
    </w:p>
    <w:p w14:paraId="27245DF3" w14:textId="77777777" w:rsidR="00303905" w:rsidRPr="004A7B4B" w:rsidRDefault="00303905" w:rsidP="00303905">
      <w:pPr>
        <w:pStyle w:val="MText"/>
        <w:rPr>
          <w:b/>
          <w:bCs/>
          <w:lang w:val="es-MX"/>
        </w:rPr>
      </w:pPr>
      <w:bookmarkStart w:id="45" w:name="_Hlk196759962"/>
      <w:r w:rsidRPr="004A7B4B">
        <w:rPr>
          <w:b/>
          <w:bCs/>
          <w:lang w:val="es-MX"/>
        </w:rPr>
        <w:t>Serie de tiempo:</w:t>
      </w:r>
    </w:p>
    <w:bookmarkEnd w:id="45"/>
    <w:p w14:paraId="2A4C680A" w14:textId="77777777" w:rsidR="007B1738" w:rsidRPr="007B1738" w:rsidRDefault="007B1738" w:rsidP="007B1738">
      <w:pPr>
        <w:pStyle w:val="MText"/>
        <w:rPr>
          <w:rFonts w:cstheme="minorHAnsi"/>
          <w:lang w:val="es-MX"/>
        </w:rPr>
      </w:pPr>
      <w:r w:rsidRPr="007B1738">
        <w:rPr>
          <w:rFonts w:cstheme="minorHAnsi"/>
          <w:lang w:val="es-MX"/>
        </w:rPr>
        <w:t>El indicador se ha incluido recientemente en la Encuesta Anual sobre Tendencias del Delito de las Naciones Unidas (UN-CTS, la recopilación periódica de datos utilizada por la UNODC para recabar datos de los Estados miembros de las Naciones Unidas. Se espera que los países informen gradualmente sobre este indicador a medida que se difunda la orientación metodológica y se incluyan los elementos pertinentes en las encuestas nacionales.</w:t>
      </w:r>
    </w:p>
    <w:p w14:paraId="3E78DDDE" w14:textId="77777777" w:rsidR="00F20FB5" w:rsidRPr="007B1738" w:rsidRDefault="00F20FB5" w:rsidP="00576CFA">
      <w:pPr>
        <w:pStyle w:val="MText"/>
        <w:rPr>
          <w:b/>
          <w:bCs/>
          <w:lang w:val="es-MX"/>
        </w:rPr>
      </w:pPr>
    </w:p>
    <w:p w14:paraId="4DF7815C" w14:textId="77777777" w:rsidR="00303905" w:rsidRPr="004A7B4B" w:rsidRDefault="00303905" w:rsidP="00303905">
      <w:pPr>
        <w:pStyle w:val="MText"/>
        <w:rPr>
          <w:b/>
          <w:bCs/>
          <w:lang w:val="es-MX"/>
        </w:rPr>
      </w:pPr>
      <w:bookmarkStart w:id="46" w:name="_Hlk196759967"/>
      <w:r w:rsidRPr="004A7B4B">
        <w:rPr>
          <w:b/>
          <w:bCs/>
          <w:lang w:val="es-MX"/>
        </w:rPr>
        <w:t>Desagregación:</w:t>
      </w:r>
    </w:p>
    <w:bookmarkEnd w:id="46"/>
    <w:p w14:paraId="225451E5" w14:textId="77777777" w:rsidR="007B1738" w:rsidRPr="007B1738" w:rsidRDefault="007B1738" w:rsidP="007B1738">
      <w:pPr>
        <w:pStyle w:val="MText"/>
        <w:rPr>
          <w:lang w:val="es-MX"/>
        </w:rPr>
      </w:pPr>
      <w:r w:rsidRPr="007B1738">
        <w:rPr>
          <w:lang w:val="es-MX"/>
        </w:rPr>
        <w:t>La desagregación recomendada para este indicador es por:</w:t>
      </w:r>
    </w:p>
    <w:p w14:paraId="17D688EF" w14:textId="77777777" w:rsidR="007B1738" w:rsidRPr="007B1738" w:rsidRDefault="007B1738" w:rsidP="007B1738">
      <w:pPr>
        <w:pStyle w:val="MText"/>
        <w:ind w:left="284"/>
        <w:rPr>
          <w:lang w:val="es-MX"/>
        </w:rPr>
      </w:pPr>
      <w:r w:rsidRPr="007B1738">
        <w:rPr>
          <w:lang w:val="es-MX"/>
        </w:rPr>
        <w:t>· edad y sexo de los sobornadores</w:t>
      </w:r>
    </w:p>
    <w:p w14:paraId="1C5006A4" w14:textId="77777777" w:rsidR="007B1738" w:rsidRPr="007B1738" w:rsidRDefault="007B1738" w:rsidP="007B1738">
      <w:pPr>
        <w:pStyle w:val="MText"/>
        <w:ind w:left="284"/>
        <w:rPr>
          <w:lang w:val="es-MX"/>
        </w:rPr>
      </w:pPr>
      <w:r w:rsidRPr="007B1738">
        <w:rPr>
          <w:lang w:val="es-MX"/>
        </w:rPr>
        <w:t>· tipo de funcionario (policía, trabajador sanitario, funcionario de aduanas, etc.)</w:t>
      </w:r>
    </w:p>
    <w:p w14:paraId="451B7A30" w14:textId="77777777" w:rsidR="007B1738" w:rsidRPr="007B1738" w:rsidRDefault="007B1738" w:rsidP="007B1738">
      <w:pPr>
        <w:pStyle w:val="MText"/>
        <w:ind w:left="284"/>
        <w:rPr>
          <w:lang w:val="es-MX"/>
        </w:rPr>
      </w:pPr>
      <w:r w:rsidRPr="007B1738">
        <w:rPr>
          <w:lang w:val="es-MX"/>
        </w:rPr>
        <w:t>· nivel educativo de los sobornadores</w:t>
      </w:r>
    </w:p>
    <w:p w14:paraId="45937F67" w14:textId="77777777" w:rsidR="00293F57" w:rsidRPr="007B1738" w:rsidRDefault="00293F57" w:rsidP="007B1738">
      <w:pPr>
        <w:pStyle w:val="MText"/>
        <w:ind w:left="284"/>
        <w:rPr>
          <w:lang w:val="es-MX"/>
        </w:rPr>
      </w:pPr>
    </w:p>
    <w:p w14:paraId="33CAB7BE" w14:textId="61359EB3" w:rsidR="00EC2915" w:rsidRPr="00303905" w:rsidRDefault="00B31E2C" w:rsidP="00282371">
      <w:pPr>
        <w:pStyle w:val="MHeader"/>
        <w:spacing w:after="100"/>
        <w:rPr>
          <w:lang w:val="es-MX"/>
        </w:rPr>
      </w:pPr>
      <w:r w:rsidRPr="00303905">
        <w:rPr>
          <w:lang w:val="es-MX"/>
        </w:rPr>
        <w:t xml:space="preserve">6. </w:t>
      </w:r>
      <w:bookmarkStart w:id="47" w:name="_Hlk196759977"/>
      <w:r w:rsidR="00303905" w:rsidRPr="0063163D">
        <w:rPr>
          <w:lang w:val="es-MX"/>
        </w:rPr>
        <w:t>Comparabilidad / desviación de estándares internacio</w:t>
      </w:r>
      <w:r w:rsidR="00303905">
        <w:rPr>
          <w:lang w:val="es-MX"/>
        </w:rPr>
        <w:t>nales</w:t>
      </w:r>
      <w:bookmarkEnd w:id="47"/>
      <w:r w:rsidR="00303905" w:rsidRPr="0063163D">
        <w:rPr>
          <w:lang w:val="es-MX"/>
        </w:rPr>
        <w:t xml:space="preserve"> </w:t>
      </w:r>
      <w:r w:rsidRPr="00303905">
        <w:rPr>
          <w:color w:val="B4B4B4"/>
          <w:sz w:val="20"/>
          <w:lang w:val="es-MX"/>
        </w:rPr>
        <w:t>(COMPARABILITY)</w:t>
      </w:r>
    </w:p>
    <w:p w14:paraId="5760B7BE" w14:textId="77777777" w:rsidR="00303905" w:rsidRPr="004A7B4B" w:rsidRDefault="00303905" w:rsidP="00303905">
      <w:pPr>
        <w:pStyle w:val="MText"/>
        <w:rPr>
          <w:b/>
          <w:bCs/>
          <w:lang w:val="es-MX"/>
        </w:rPr>
      </w:pPr>
      <w:bookmarkStart w:id="48" w:name="_Hlk196759984"/>
      <w:r w:rsidRPr="004A7B4B">
        <w:rPr>
          <w:b/>
          <w:bCs/>
          <w:lang w:val="es-MX"/>
        </w:rPr>
        <w:t>Fuentes de discrepancias:</w:t>
      </w:r>
    </w:p>
    <w:bookmarkEnd w:id="48"/>
    <w:p w14:paraId="5D38A55F" w14:textId="77777777" w:rsidR="007B1738" w:rsidRPr="007B1738" w:rsidRDefault="007B1738" w:rsidP="007B1738">
      <w:pPr>
        <w:pStyle w:val="MText"/>
        <w:rPr>
          <w:rFonts w:cstheme="minorHAnsi"/>
          <w:lang w:val="es-MX"/>
        </w:rPr>
      </w:pPr>
      <w:r w:rsidRPr="007B1738">
        <w:rPr>
          <w:rFonts w:cstheme="minorHAnsi"/>
          <w:lang w:val="es-MX"/>
        </w:rPr>
        <w:t>Si se dispone de datos de más de una encuesta para un mismo país, pueden surgir discrepancias debido a la diferente redacción de las preguntas, la diferente estructura del cuestionario, los diferentes métodos y operaciones de la encuesta, el diferente diseño de la muestra y el tamaño de la muestra. Por regla general, se utilizan los datos de las encuestas nacionales que cumplen las normas internacionales recomendadas, cuando están disponibles.</w:t>
      </w:r>
    </w:p>
    <w:p w14:paraId="5AB6DD91" w14:textId="77777777" w:rsidR="00F719A8" w:rsidRPr="007B1738" w:rsidRDefault="00F719A8" w:rsidP="00576CFA">
      <w:pPr>
        <w:pStyle w:val="MText"/>
        <w:rPr>
          <w:lang w:val="es-MX"/>
        </w:rPr>
      </w:pPr>
    </w:p>
    <w:p w14:paraId="76DF099C" w14:textId="549FECA7" w:rsidR="00382CF3" w:rsidRPr="00303905" w:rsidRDefault="00576CFA" w:rsidP="000412A0">
      <w:pPr>
        <w:pStyle w:val="MHeader"/>
        <w:spacing w:after="100"/>
        <w:rPr>
          <w:lang w:val="es-MX"/>
        </w:rPr>
      </w:pPr>
      <w:r w:rsidRPr="00303905">
        <w:rPr>
          <w:lang w:val="es-MX"/>
        </w:rPr>
        <w:t>7</w:t>
      </w:r>
      <w:r w:rsidR="00382CF3" w:rsidRPr="00303905">
        <w:rPr>
          <w:lang w:val="es-MX"/>
        </w:rPr>
        <w:t xml:space="preserve">. </w:t>
      </w:r>
      <w:bookmarkStart w:id="49" w:name="_Hlk196759991"/>
      <w:r w:rsidR="00303905" w:rsidRPr="0063163D">
        <w:rPr>
          <w:lang w:val="es-MX"/>
        </w:rPr>
        <w:t>Referencias y documentación</w:t>
      </w:r>
      <w:bookmarkEnd w:id="49"/>
      <w:r w:rsidR="00303905" w:rsidRPr="0063163D">
        <w:rPr>
          <w:lang w:val="es-MX"/>
        </w:rPr>
        <w:t xml:space="preserve"> </w:t>
      </w:r>
      <w:r w:rsidRPr="00303905">
        <w:rPr>
          <w:color w:val="B4B4B4"/>
          <w:sz w:val="20"/>
          <w:lang w:val="es-MX"/>
        </w:rPr>
        <w:t>(OTHER_DOC)</w:t>
      </w:r>
    </w:p>
    <w:p w14:paraId="22A3E145" w14:textId="1703F911" w:rsidR="00D34340" w:rsidRPr="00303905" w:rsidRDefault="00B72BD3" w:rsidP="00D34340">
      <w:pPr>
        <w:shd w:val="clear" w:color="auto" w:fill="FFFFFF"/>
        <w:spacing w:after="0"/>
        <w:rPr>
          <w:rFonts w:eastAsia="Times New Roman" w:cs="Times New Roman"/>
          <w:color w:val="4A4A4A"/>
          <w:sz w:val="21"/>
          <w:szCs w:val="21"/>
          <w:lang w:val="es-MX" w:eastAsia="en-GB"/>
        </w:rPr>
      </w:pPr>
      <w:r w:rsidRPr="004A7B4B">
        <w:rPr>
          <w:rFonts w:eastAsia="Times New Roman" w:cs="Times New Roman"/>
          <w:b/>
          <w:bCs/>
          <w:color w:val="4A4A4A"/>
          <w:sz w:val="21"/>
          <w:szCs w:val="21"/>
          <w:lang w:val="es-MX" w:eastAsia="en-GB"/>
        </w:rPr>
        <w:t xml:space="preserve">URL </w:t>
      </w:r>
      <w:r w:rsidR="00303905" w:rsidRPr="004A7B4B">
        <w:rPr>
          <w:rFonts w:eastAsia="Times New Roman" w:cs="Times New Roman"/>
          <w:b/>
          <w:bCs/>
          <w:color w:val="4A4A4A"/>
          <w:sz w:val="21"/>
          <w:szCs w:val="21"/>
          <w:lang w:val="es-MX" w:eastAsia="en-GB"/>
        </w:rPr>
        <w:t>y</w:t>
      </w:r>
      <w:r w:rsidRPr="004A7B4B">
        <w:rPr>
          <w:rFonts w:eastAsia="Times New Roman" w:cs="Times New Roman"/>
          <w:b/>
          <w:bCs/>
          <w:color w:val="4A4A4A"/>
          <w:sz w:val="21"/>
          <w:szCs w:val="21"/>
          <w:lang w:val="es-MX" w:eastAsia="en-GB"/>
        </w:rPr>
        <w:t xml:space="preserve"> </w:t>
      </w:r>
      <w:bookmarkStart w:id="50" w:name="_Hlk196759997"/>
      <w:r w:rsidR="00303905" w:rsidRPr="00F36079">
        <w:rPr>
          <w:rFonts w:eastAsia="Times New Roman" w:cs="Times New Roman"/>
          <w:b/>
          <w:bCs/>
          <w:color w:val="4A4A4A"/>
          <w:sz w:val="21"/>
          <w:szCs w:val="21"/>
          <w:lang w:val="es-MX" w:eastAsia="en-GB"/>
        </w:rPr>
        <w:t>Referencias:</w:t>
      </w:r>
      <w:bookmarkEnd w:id="50"/>
    </w:p>
    <w:p w14:paraId="0508B386" w14:textId="77777777" w:rsidR="00B72BD3" w:rsidRPr="004A7B4B" w:rsidRDefault="00B72BD3" w:rsidP="00D34340">
      <w:pPr>
        <w:shd w:val="clear" w:color="auto" w:fill="FFFFFF"/>
        <w:spacing w:after="0"/>
        <w:rPr>
          <w:rFonts w:eastAsia="Times New Roman" w:cs="Times New Roman"/>
          <w:color w:val="4A4A4A"/>
          <w:sz w:val="21"/>
          <w:szCs w:val="21"/>
          <w:lang w:val="es-MX" w:eastAsia="en-GB"/>
        </w:rPr>
      </w:pPr>
    </w:p>
    <w:p w14:paraId="6E0F824B" w14:textId="08AC32BD" w:rsidR="00D34340" w:rsidRPr="004A7B4B" w:rsidRDefault="00035ABA" w:rsidP="00D34340">
      <w:pPr>
        <w:shd w:val="clear" w:color="auto" w:fill="FFFFFF"/>
        <w:spacing w:after="0"/>
        <w:rPr>
          <w:rFonts w:eastAsia="Times New Roman" w:cs="Times New Roman"/>
          <w:color w:val="4A4A4A"/>
          <w:sz w:val="21"/>
          <w:szCs w:val="21"/>
          <w:lang w:val="es-MX" w:eastAsia="en-GB"/>
        </w:rPr>
      </w:pPr>
      <w:hyperlink r:id="rId16" w:history="1">
        <w:r w:rsidRPr="004A7B4B">
          <w:rPr>
            <w:rStyle w:val="Hipervnculo"/>
            <w:rFonts w:eastAsia="Times New Roman" w:cs="Times New Roman"/>
            <w:sz w:val="21"/>
            <w:szCs w:val="21"/>
            <w:lang w:val="es-MX" w:eastAsia="en-GB"/>
          </w:rPr>
          <w:t>www.unodc.org</w:t>
        </w:r>
      </w:hyperlink>
      <w:r w:rsidRPr="004A7B4B">
        <w:rPr>
          <w:rFonts w:eastAsia="Times New Roman" w:cs="Times New Roman"/>
          <w:color w:val="4A4A4A"/>
          <w:sz w:val="21"/>
          <w:szCs w:val="21"/>
          <w:lang w:val="es-MX" w:eastAsia="en-GB"/>
        </w:rPr>
        <w:t xml:space="preserve"> </w:t>
      </w:r>
    </w:p>
    <w:p w14:paraId="332978A1" w14:textId="77777777" w:rsidR="00384136" w:rsidRPr="004A7B4B" w:rsidRDefault="00384136" w:rsidP="00384136">
      <w:pPr>
        <w:shd w:val="clear" w:color="auto" w:fill="FFFFFF"/>
        <w:spacing w:after="0"/>
        <w:rPr>
          <w:rFonts w:eastAsia="Times New Roman" w:cs="Times New Roman"/>
          <w:color w:val="4A4A4A"/>
          <w:sz w:val="21"/>
          <w:szCs w:val="21"/>
          <w:lang w:val="es-MX" w:eastAsia="en-GB"/>
        </w:rPr>
      </w:pPr>
      <w:hyperlink r:id="rId17" w:history="1">
        <w:r w:rsidRPr="004A7B4B">
          <w:rPr>
            <w:rStyle w:val="Hipervnculo"/>
            <w:rFonts w:eastAsia="Times New Roman" w:cs="Times New Roman"/>
            <w:sz w:val="21"/>
            <w:szCs w:val="21"/>
            <w:lang w:val="es-MX" w:eastAsia="en-GB"/>
          </w:rPr>
          <w:t>https://dataunodc.un.org/sdgs</w:t>
        </w:r>
      </w:hyperlink>
    </w:p>
    <w:p w14:paraId="7EF77904" w14:textId="1945186E" w:rsidR="006A25BC" w:rsidRPr="007B1738" w:rsidRDefault="007B1738" w:rsidP="00D34340">
      <w:pPr>
        <w:shd w:val="clear" w:color="auto" w:fill="FFFFFF"/>
        <w:spacing w:after="0"/>
        <w:rPr>
          <w:rFonts w:eastAsia="Times New Roman" w:cs="Times New Roman"/>
          <w:color w:val="4A4A4A"/>
          <w:sz w:val="21"/>
          <w:szCs w:val="21"/>
          <w:lang w:val="es-MX" w:eastAsia="en-GB"/>
        </w:rPr>
      </w:pPr>
      <w:r w:rsidRPr="007B1738">
        <w:rPr>
          <w:rFonts w:eastAsia="Times New Roman" w:cs="Times New Roman"/>
          <w:color w:val="4A4A4A"/>
          <w:sz w:val="21"/>
          <w:szCs w:val="21"/>
          <w:lang w:val="es-MX" w:eastAsia="en-GB"/>
        </w:rPr>
        <w:lastRenderedPageBreak/>
        <w:t xml:space="preserve">Información general sobre la labor de la UNODC en relación con las encuestas sobre la corrupción: </w:t>
      </w:r>
      <w:hyperlink r:id="rId18" w:history="1">
        <w:r w:rsidR="007768BD" w:rsidRPr="007B1738">
          <w:rPr>
            <w:rStyle w:val="Hipervnculo"/>
            <w:rFonts w:eastAsia="Times New Roman" w:cs="Times New Roman"/>
            <w:sz w:val="21"/>
            <w:szCs w:val="21"/>
            <w:lang w:val="es-MX" w:eastAsia="en-GB"/>
          </w:rPr>
          <w:t>https://www.unodc.org/unodc/data-and-analysis/corruption.html</w:t>
        </w:r>
      </w:hyperlink>
    </w:p>
    <w:p w14:paraId="1AA82018" w14:textId="77777777" w:rsidR="007768BD" w:rsidRPr="007B1738" w:rsidRDefault="007768BD" w:rsidP="00D34340">
      <w:pPr>
        <w:shd w:val="clear" w:color="auto" w:fill="FFFFFF"/>
        <w:spacing w:after="0"/>
        <w:rPr>
          <w:rFonts w:eastAsia="Times New Roman" w:cs="Times New Roman"/>
          <w:color w:val="4A4A4A"/>
          <w:sz w:val="21"/>
          <w:szCs w:val="21"/>
          <w:lang w:val="es-MX" w:eastAsia="en-GB"/>
        </w:rPr>
      </w:pPr>
    </w:p>
    <w:p w14:paraId="7806CEF7" w14:textId="412731B4" w:rsidR="007768BD" w:rsidRPr="007B1738" w:rsidRDefault="007B1738" w:rsidP="007768BD">
      <w:pPr>
        <w:shd w:val="clear" w:color="auto" w:fill="FFFFFF"/>
        <w:spacing w:after="0"/>
        <w:rPr>
          <w:rFonts w:eastAsia="Times New Roman" w:cs="Times New Roman"/>
          <w:color w:val="4A4A4A"/>
          <w:sz w:val="21"/>
          <w:szCs w:val="21"/>
          <w:lang w:val="es-MX" w:eastAsia="en-GB"/>
        </w:rPr>
      </w:pPr>
      <w:r w:rsidRPr="007B1738">
        <w:rPr>
          <w:rFonts w:eastAsia="Times New Roman" w:cs="Times New Roman"/>
          <w:color w:val="4A4A4A"/>
          <w:sz w:val="21"/>
          <w:szCs w:val="21"/>
          <w:lang w:val="es-MX" w:eastAsia="en-GB"/>
        </w:rPr>
        <w:t xml:space="preserve">Plataforma para acceder a microdatos sobre encuestas de corrupción: </w:t>
      </w:r>
      <w:hyperlink r:id="rId19" w:history="1">
        <w:r w:rsidR="00F20FB5" w:rsidRPr="007B1738">
          <w:rPr>
            <w:rStyle w:val="Hipervnculo"/>
            <w:rFonts w:eastAsia="Times New Roman" w:cs="Times New Roman"/>
            <w:sz w:val="21"/>
            <w:szCs w:val="21"/>
            <w:lang w:val="es-MX" w:eastAsia="en-GB"/>
          </w:rPr>
          <w:t>https://dataunodc.un.org/content/microdata</w:t>
        </w:r>
      </w:hyperlink>
      <w:r w:rsidR="00F20FB5" w:rsidRPr="007B1738">
        <w:rPr>
          <w:rFonts w:eastAsia="Times New Roman" w:cs="Times New Roman"/>
          <w:color w:val="4A4A4A"/>
          <w:sz w:val="21"/>
          <w:szCs w:val="21"/>
          <w:lang w:val="es-MX" w:eastAsia="en-GB"/>
        </w:rPr>
        <w:t xml:space="preserve"> </w:t>
      </w:r>
    </w:p>
    <w:p w14:paraId="770BA872" w14:textId="77777777" w:rsidR="006A25BC" w:rsidRPr="007B1738" w:rsidRDefault="006A25BC" w:rsidP="00D34340">
      <w:pPr>
        <w:shd w:val="clear" w:color="auto" w:fill="FFFFFF"/>
        <w:spacing w:after="0"/>
        <w:rPr>
          <w:rFonts w:eastAsia="Times New Roman" w:cs="Times New Roman"/>
          <w:color w:val="4A4A4A"/>
          <w:sz w:val="21"/>
          <w:szCs w:val="21"/>
          <w:lang w:val="es-MX" w:eastAsia="en-GB"/>
        </w:rPr>
      </w:pPr>
    </w:p>
    <w:p w14:paraId="0D6F30FC" w14:textId="5D3DC82A" w:rsidR="00401795" w:rsidRDefault="007B1738" w:rsidP="00662954">
      <w:pPr>
        <w:pStyle w:val="MText"/>
      </w:pPr>
      <w:r w:rsidRPr="007B1738">
        <w:rPr>
          <w:lang w:val="es-MX"/>
        </w:rPr>
        <w:t>UNODC. 2015. Clasificación Internacional de Delitos para Fines Estadísticos (ICCS).</w:t>
      </w:r>
      <w:r>
        <w:rPr>
          <w:lang w:val="es-MX"/>
        </w:rPr>
        <w:t xml:space="preserve"> </w:t>
      </w:r>
      <w:hyperlink r:id="rId20" w:history="1">
        <w:r w:rsidR="00401795" w:rsidRPr="00206342">
          <w:rPr>
            <w:rStyle w:val="Hipervnculo"/>
          </w:rPr>
          <w:t>https://www.unodc.org/unodc/en/data-and-analysis/statistics/iccs.html</w:t>
        </w:r>
      </w:hyperlink>
      <w:r w:rsidR="00401795">
        <w:t xml:space="preserve"> </w:t>
      </w:r>
    </w:p>
    <w:p w14:paraId="42901E4C" w14:textId="77777777" w:rsidR="000D5767" w:rsidRDefault="000D5767" w:rsidP="00662954">
      <w:pPr>
        <w:pStyle w:val="MText"/>
      </w:pPr>
    </w:p>
    <w:p w14:paraId="7D4E1F48" w14:textId="2DB075CA" w:rsidR="00401795" w:rsidRDefault="007B1738" w:rsidP="00662954">
      <w:pPr>
        <w:pStyle w:val="MText"/>
      </w:pPr>
      <w:r w:rsidRPr="007B1738">
        <w:rPr>
          <w:lang w:val="es-MX"/>
        </w:rPr>
        <w:t xml:space="preserve">UNODC-PNUD-UNODC-INEGI </w:t>
      </w:r>
      <w:proofErr w:type="spellStart"/>
      <w:r w:rsidRPr="007B1738">
        <w:rPr>
          <w:lang w:val="es-MX"/>
        </w:rPr>
        <w:t>CoE</w:t>
      </w:r>
      <w:proofErr w:type="spellEnd"/>
      <w:r w:rsidRPr="007B1738">
        <w:rPr>
          <w:lang w:val="es-MX"/>
        </w:rPr>
        <w:t>. 2018. Manual sobre encuestas de corrupción.</w:t>
      </w:r>
      <w:hyperlink r:id="rId21" w:history="1">
        <w:r w:rsidR="00401795" w:rsidRPr="00206342">
          <w:rPr>
            <w:rStyle w:val="Hipervnculo"/>
          </w:rPr>
          <w:t>https://www.unodc.org/unodc/data-and-analysis/corruption-manuals.html</w:t>
        </w:r>
      </w:hyperlink>
      <w:r w:rsidR="00401795">
        <w:t xml:space="preserve"> </w:t>
      </w:r>
    </w:p>
    <w:p w14:paraId="347245D1" w14:textId="77777777" w:rsidR="004D7DE7" w:rsidRDefault="004D7DE7" w:rsidP="00662954">
      <w:pPr>
        <w:pStyle w:val="MText"/>
      </w:pPr>
    </w:p>
    <w:p w14:paraId="2C6263E8" w14:textId="376B1CAF" w:rsidR="005A596F" w:rsidRPr="007B1738" w:rsidRDefault="007B1738" w:rsidP="005A596F">
      <w:pPr>
        <w:shd w:val="clear" w:color="auto" w:fill="FFFFFF"/>
        <w:spacing w:after="0"/>
        <w:rPr>
          <w:rFonts w:eastAsia="Times New Roman" w:cs="Times New Roman"/>
          <w:color w:val="4A4A4A"/>
          <w:sz w:val="21"/>
          <w:szCs w:val="21"/>
          <w:lang w:val="es-MX" w:eastAsia="en-GB"/>
        </w:rPr>
      </w:pPr>
      <w:r w:rsidRPr="007B1738">
        <w:rPr>
          <w:rFonts w:eastAsia="Times New Roman" w:cs="Times New Roman"/>
          <w:sz w:val="21"/>
          <w:szCs w:val="21"/>
          <w:lang w:val="es-MX" w:eastAsia="en-GB"/>
        </w:rPr>
        <w:t>UNODC-PNUD-ACNUDH. 2022. Cuestionario de la encuesta sobre el ODS 16 y manual de aplicación. Disponible en:</w:t>
      </w:r>
      <w:r>
        <w:rPr>
          <w:rFonts w:eastAsia="Times New Roman" w:cs="Times New Roman"/>
          <w:sz w:val="21"/>
          <w:szCs w:val="21"/>
          <w:lang w:val="es-MX" w:eastAsia="en-GB"/>
        </w:rPr>
        <w:t xml:space="preserve"> </w:t>
      </w:r>
      <w:hyperlink r:id="rId22" w:history="1">
        <w:r w:rsidR="005A596F" w:rsidRPr="007B1738">
          <w:rPr>
            <w:rStyle w:val="Hipervnculo"/>
            <w:rFonts w:eastAsia="Times New Roman" w:cs="Times New Roman"/>
            <w:sz w:val="21"/>
            <w:szCs w:val="21"/>
            <w:lang w:val="es-MX" w:eastAsia="en-GB"/>
          </w:rPr>
          <w:t>https://www.sdg16hub.org/topic/sdg-16-survey-initiative-questionnaire</w:t>
        </w:r>
      </w:hyperlink>
    </w:p>
    <w:p w14:paraId="559F992A" w14:textId="0183B29C" w:rsidR="005A596F" w:rsidRPr="004A7B4B" w:rsidRDefault="004D7DE7" w:rsidP="005A596F">
      <w:pPr>
        <w:shd w:val="clear" w:color="auto" w:fill="FFFFFF"/>
        <w:spacing w:after="0"/>
        <w:rPr>
          <w:rFonts w:eastAsia="Times New Roman" w:cs="Times New Roman"/>
          <w:color w:val="4A4A4A"/>
          <w:sz w:val="21"/>
          <w:szCs w:val="21"/>
          <w:lang w:val="es-MX" w:eastAsia="en-GB"/>
        </w:rPr>
      </w:pPr>
      <w:hyperlink r:id="rId23" w:history="1">
        <w:r w:rsidRPr="004A7B4B">
          <w:rPr>
            <w:rStyle w:val="Hipervnculo"/>
            <w:rFonts w:eastAsia="Times New Roman" w:cs="Times New Roman"/>
            <w:sz w:val="21"/>
            <w:szCs w:val="21"/>
            <w:lang w:val="es-MX" w:eastAsia="en-GB"/>
          </w:rPr>
          <w:t>https://www.sdg16hub.org/topic/sdg-16-survey-initiative-implementation-manual</w:t>
        </w:r>
      </w:hyperlink>
      <w:r w:rsidR="005A596F" w:rsidRPr="004A7B4B">
        <w:rPr>
          <w:rFonts w:eastAsia="Times New Roman" w:cs="Times New Roman"/>
          <w:color w:val="4A4A4A"/>
          <w:sz w:val="21"/>
          <w:szCs w:val="21"/>
          <w:lang w:val="es-MX" w:eastAsia="en-GB"/>
        </w:rPr>
        <w:t xml:space="preserve"> </w:t>
      </w:r>
    </w:p>
    <w:p w14:paraId="18633518" w14:textId="77777777" w:rsidR="007B1738" w:rsidRDefault="007B1738" w:rsidP="007B1738">
      <w:pPr>
        <w:rPr>
          <w:lang w:val="es-MX"/>
        </w:rPr>
      </w:pPr>
    </w:p>
    <w:p w14:paraId="275A8E42" w14:textId="695C6388" w:rsidR="004D7DE7" w:rsidRPr="007B1738" w:rsidRDefault="007B1738" w:rsidP="007B1738">
      <w:pPr>
        <w:rPr>
          <w:lang w:val="es-MX"/>
        </w:rPr>
      </w:pPr>
      <w:r w:rsidRPr="007B1738">
        <w:rPr>
          <w:lang w:val="es-MX"/>
        </w:rPr>
        <w:t>UNODC. 2023. Marco estadístico para medir la corrupción.</w:t>
      </w:r>
    </w:p>
    <w:sectPr w:rsidR="004D7DE7" w:rsidRPr="007B1738">
      <w:headerReference w:type="default" r:id="rId24"/>
      <w:footerReference w:type="defaul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A24D8" w14:textId="77777777" w:rsidR="00450B78" w:rsidRDefault="00450B78" w:rsidP="00573C0B">
      <w:pPr>
        <w:spacing w:after="0" w:line="240" w:lineRule="auto"/>
      </w:pPr>
      <w:r>
        <w:separator/>
      </w:r>
    </w:p>
  </w:endnote>
  <w:endnote w:type="continuationSeparator" w:id="0">
    <w:p w14:paraId="7A88A7EB" w14:textId="77777777" w:rsidR="00450B78" w:rsidRDefault="00450B78" w:rsidP="00573C0B">
      <w:pPr>
        <w:spacing w:after="0" w:line="240" w:lineRule="auto"/>
      </w:pPr>
      <w:r>
        <w:continuationSeparator/>
      </w:r>
    </w:p>
  </w:endnote>
  <w:endnote w:type="continuationNotice" w:id="1">
    <w:p w14:paraId="51B25DD3" w14:textId="77777777" w:rsidR="00450B78" w:rsidRDefault="00450B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FC8EF14" w14:paraId="23D4E8E8" w14:textId="77777777" w:rsidTr="3FC8EF14">
      <w:tc>
        <w:tcPr>
          <w:tcW w:w="3005" w:type="dxa"/>
        </w:tcPr>
        <w:p w14:paraId="0C6114A0" w14:textId="4F75F5C1" w:rsidR="3FC8EF14" w:rsidRDefault="3FC8EF14" w:rsidP="3FC8EF14">
          <w:pPr>
            <w:pStyle w:val="Encabezado"/>
            <w:ind w:left="-115"/>
          </w:pPr>
        </w:p>
      </w:tc>
      <w:tc>
        <w:tcPr>
          <w:tcW w:w="3005" w:type="dxa"/>
        </w:tcPr>
        <w:p w14:paraId="5D4BDEF0" w14:textId="12F1334C" w:rsidR="3FC8EF14" w:rsidRDefault="3FC8EF14" w:rsidP="3FC8EF14">
          <w:pPr>
            <w:pStyle w:val="Encabezado"/>
            <w:jc w:val="center"/>
          </w:pPr>
        </w:p>
      </w:tc>
      <w:tc>
        <w:tcPr>
          <w:tcW w:w="3005" w:type="dxa"/>
        </w:tcPr>
        <w:p w14:paraId="5FA78B22" w14:textId="020F6804" w:rsidR="3FC8EF14" w:rsidRDefault="3FC8EF14" w:rsidP="3FC8EF14">
          <w:pPr>
            <w:pStyle w:val="Encabezado"/>
            <w:ind w:right="-115"/>
            <w:jc w:val="right"/>
          </w:pPr>
        </w:p>
      </w:tc>
    </w:tr>
  </w:tbl>
  <w:p w14:paraId="26EFF0A3" w14:textId="3A9D1BD4" w:rsidR="3FC8EF14" w:rsidRDefault="3FC8EF14" w:rsidP="3FC8E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BCB3E" w14:textId="77777777" w:rsidR="00450B78" w:rsidRDefault="00450B78" w:rsidP="00573C0B">
      <w:pPr>
        <w:spacing w:after="0" w:line="240" w:lineRule="auto"/>
      </w:pPr>
      <w:r>
        <w:separator/>
      </w:r>
    </w:p>
  </w:footnote>
  <w:footnote w:type="continuationSeparator" w:id="0">
    <w:p w14:paraId="5B7BD1CE" w14:textId="77777777" w:rsidR="00450B78" w:rsidRDefault="00450B78" w:rsidP="00573C0B">
      <w:pPr>
        <w:spacing w:after="0" w:line="240" w:lineRule="auto"/>
      </w:pPr>
      <w:r>
        <w:continuationSeparator/>
      </w:r>
    </w:p>
  </w:footnote>
  <w:footnote w:type="continuationNotice" w:id="1">
    <w:p w14:paraId="2421AC6B" w14:textId="77777777" w:rsidR="00450B78" w:rsidRDefault="00450B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69AAD936" w:rsidR="00077F46" w:rsidRPr="00757E8A" w:rsidRDefault="00CB33FC" w:rsidP="00077F46">
    <w:pPr>
      <w:pStyle w:val="Encabezado"/>
      <w:jc w:val="right"/>
      <w:rPr>
        <w:color w:val="404040" w:themeColor="text1" w:themeTint="BF"/>
        <w:sz w:val="18"/>
        <w:szCs w:val="18"/>
      </w:rPr>
    </w:pPr>
    <w:bookmarkStart w:id="51" w:name="_Hlk506197003"/>
    <w:bookmarkStart w:id="52" w:name="_Hlk506197004"/>
    <w:bookmarkStart w:id="53" w:name="_Hlk506197005"/>
    <w:bookmarkStart w:id="54" w:name="_Hlk516233502"/>
    <w:bookmarkStart w:id="55" w:name="_Hlk516233503"/>
    <w:bookmarkStart w:id="56" w:name="_Hlk516233504"/>
    <w:proofErr w:type="spellStart"/>
    <w:r>
      <w:rPr>
        <w:color w:val="404040" w:themeColor="text1" w:themeTint="BF"/>
        <w:sz w:val="18"/>
        <w:szCs w:val="18"/>
      </w:rPr>
      <w:t>Última</w:t>
    </w:r>
    <w:proofErr w:type="spellEnd"/>
    <w:r>
      <w:rPr>
        <w:color w:val="404040" w:themeColor="text1" w:themeTint="BF"/>
        <w:sz w:val="18"/>
        <w:szCs w:val="18"/>
      </w:rPr>
      <w:t xml:space="preserve"> </w:t>
    </w:r>
    <w:proofErr w:type="spellStart"/>
    <w:r>
      <w:rPr>
        <w:color w:val="404040" w:themeColor="text1" w:themeTint="BF"/>
        <w:sz w:val="18"/>
        <w:szCs w:val="18"/>
      </w:rPr>
      <w:t>actualización</w:t>
    </w:r>
    <w:proofErr w:type="spellEnd"/>
    <w:r w:rsidR="3FC8EF14" w:rsidRPr="3FC8EF14">
      <w:rPr>
        <w:color w:val="404040" w:themeColor="text1" w:themeTint="BF"/>
        <w:sz w:val="18"/>
        <w:szCs w:val="18"/>
      </w:rPr>
      <w:t>:</w:t>
    </w:r>
    <w:bookmarkEnd w:id="51"/>
    <w:bookmarkEnd w:id="52"/>
    <w:bookmarkEnd w:id="53"/>
    <w:bookmarkEnd w:id="54"/>
    <w:bookmarkEnd w:id="55"/>
    <w:bookmarkEnd w:id="56"/>
    <w:r w:rsidR="3FC8EF14" w:rsidRPr="3FC8EF14">
      <w:rPr>
        <w:color w:val="404040" w:themeColor="text1" w:themeTint="BF"/>
        <w:sz w:val="18"/>
        <w:szCs w:val="18"/>
      </w:rPr>
      <w:t xml:space="preserve"> </w:t>
    </w:r>
    <w:r w:rsidR="00667C95">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49AC"/>
    <w:multiLevelType w:val="hybridMultilevel"/>
    <w:tmpl w:val="36C6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9797270">
    <w:abstractNumId w:val="3"/>
  </w:num>
  <w:num w:numId="2" w16cid:durableId="562178255">
    <w:abstractNumId w:val="1"/>
  </w:num>
  <w:num w:numId="3" w16cid:durableId="756054858">
    <w:abstractNumId w:val="4"/>
  </w:num>
  <w:num w:numId="4" w16cid:durableId="1871843219">
    <w:abstractNumId w:val="2"/>
  </w:num>
  <w:num w:numId="5" w16cid:durableId="27271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692F"/>
    <w:rsid w:val="000173F9"/>
    <w:rsid w:val="00035ABA"/>
    <w:rsid w:val="0004103A"/>
    <w:rsid w:val="000412A0"/>
    <w:rsid w:val="00047DDA"/>
    <w:rsid w:val="000522C1"/>
    <w:rsid w:val="0005455A"/>
    <w:rsid w:val="00071F07"/>
    <w:rsid w:val="0007759D"/>
    <w:rsid w:val="000777AB"/>
    <w:rsid w:val="00077F46"/>
    <w:rsid w:val="00090FB1"/>
    <w:rsid w:val="00096186"/>
    <w:rsid w:val="000A252A"/>
    <w:rsid w:val="000A72E4"/>
    <w:rsid w:val="000B0E2F"/>
    <w:rsid w:val="000B2430"/>
    <w:rsid w:val="000B7FFC"/>
    <w:rsid w:val="000D0B30"/>
    <w:rsid w:val="000D5767"/>
    <w:rsid w:val="000E21F1"/>
    <w:rsid w:val="000F703E"/>
    <w:rsid w:val="00120E86"/>
    <w:rsid w:val="00125DE9"/>
    <w:rsid w:val="00131835"/>
    <w:rsid w:val="001332E0"/>
    <w:rsid w:val="00134DE7"/>
    <w:rsid w:val="00134E20"/>
    <w:rsid w:val="00135FF9"/>
    <w:rsid w:val="001433B6"/>
    <w:rsid w:val="00164918"/>
    <w:rsid w:val="00182642"/>
    <w:rsid w:val="00185354"/>
    <w:rsid w:val="001854DC"/>
    <w:rsid w:val="00185D01"/>
    <w:rsid w:val="00186795"/>
    <w:rsid w:val="00194D09"/>
    <w:rsid w:val="00195D7C"/>
    <w:rsid w:val="001A659D"/>
    <w:rsid w:val="001A7617"/>
    <w:rsid w:val="001A7D5C"/>
    <w:rsid w:val="001B60AA"/>
    <w:rsid w:val="001B63C8"/>
    <w:rsid w:val="001C01D3"/>
    <w:rsid w:val="001C1972"/>
    <w:rsid w:val="001C421F"/>
    <w:rsid w:val="001D360D"/>
    <w:rsid w:val="001D5FDA"/>
    <w:rsid w:val="001E2FBE"/>
    <w:rsid w:val="00222E7A"/>
    <w:rsid w:val="00237D3C"/>
    <w:rsid w:val="00242041"/>
    <w:rsid w:val="00254CD6"/>
    <w:rsid w:val="00261A8D"/>
    <w:rsid w:val="00275B2C"/>
    <w:rsid w:val="00281D0F"/>
    <w:rsid w:val="00282371"/>
    <w:rsid w:val="00283C1C"/>
    <w:rsid w:val="00291A00"/>
    <w:rsid w:val="00291A11"/>
    <w:rsid w:val="00293F57"/>
    <w:rsid w:val="002A315C"/>
    <w:rsid w:val="002A3342"/>
    <w:rsid w:val="002A64BA"/>
    <w:rsid w:val="002B4989"/>
    <w:rsid w:val="002C2510"/>
    <w:rsid w:val="002D4E05"/>
    <w:rsid w:val="002D714E"/>
    <w:rsid w:val="002E53C3"/>
    <w:rsid w:val="002F1468"/>
    <w:rsid w:val="002F5F0C"/>
    <w:rsid w:val="00303905"/>
    <w:rsid w:val="00310C69"/>
    <w:rsid w:val="003265EB"/>
    <w:rsid w:val="00333A77"/>
    <w:rsid w:val="0034329E"/>
    <w:rsid w:val="00343FAA"/>
    <w:rsid w:val="00347F5E"/>
    <w:rsid w:val="00353C98"/>
    <w:rsid w:val="00371A20"/>
    <w:rsid w:val="00376138"/>
    <w:rsid w:val="003821B4"/>
    <w:rsid w:val="00382CF3"/>
    <w:rsid w:val="00384136"/>
    <w:rsid w:val="00387D52"/>
    <w:rsid w:val="00392B2E"/>
    <w:rsid w:val="003A7CEA"/>
    <w:rsid w:val="003B47AB"/>
    <w:rsid w:val="003E1B2B"/>
    <w:rsid w:val="003F0BD3"/>
    <w:rsid w:val="003F278A"/>
    <w:rsid w:val="003F7A02"/>
    <w:rsid w:val="00401795"/>
    <w:rsid w:val="00405573"/>
    <w:rsid w:val="00422EA5"/>
    <w:rsid w:val="00422EFA"/>
    <w:rsid w:val="0042791F"/>
    <w:rsid w:val="004456ED"/>
    <w:rsid w:val="00450B78"/>
    <w:rsid w:val="0045680E"/>
    <w:rsid w:val="0048045A"/>
    <w:rsid w:val="004841B8"/>
    <w:rsid w:val="004930F2"/>
    <w:rsid w:val="004A7B4B"/>
    <w:rsid w:val="004B0F1C"/>
    <w:rsid w:val="004B20BE"/>
    <w:rsid w:val="004B35E3"/>
    <w:rsid w:val="004D7DE7"/>
    <w:rsid w:val="004F0F61"/>
    <w:rsid w:val="004F2EE6"/>
    <w:rsid w:val="004F393A"/>
    <w:rsid w:val="00501DC4"/>
    <w:rsid w:val="00502DBA"/>
    <w:rsid w:val="005040C4"/>
    <w:rsid w:val="00507637"/>
    <w:rsid w:val="00507852"/>
    <w:rsid w:val="00514DBF"/>
    <w:rsid w:val="00532BC1"/>
    <w:rsid w:val="00550921"/>
    <w:rsid w:val="005629A1"/>
    <w:rsid w:val="00563712"/>
    <w:rsid w:val="00573631"/>
    <w:rsid w:val="00573645"/>
    <w:rsid w:val="00573C0B"/>
    <w:rsid w:val="00576CFA"/>
    <w:rsid w:val="00577191"/>
    <w:rsid w:val="0058556D"/>
    <w:rsid w:val="00591455"/>
    <w:rsid w:val="00592AF2"/>
    <w:rsid w:val="005947AD"/>
    <w:rsid w:val="00597748"/>
    <w:rsid w:val="005979E8"/>
    <w:rsid w:val="005A2CBB"/>
    <w:rsid w:val="005A54AC"/>
    <w:rsid w:val="005A596F"/>
    <w:rsid w:val="005B0C5C"/>
    <w:rsid w:val="005B6EC6"/>
    <w:rsid w:val="005D0AF4"/>
    <w:rsid w:val="005D4AB0"/>
    <w:rsid w:val="005E54BD"/>
    <w:rsid w:val="005F6CCA"/>
    <w:rsid w:val="006076E6"/>
    <w:rsid w:val="006104AF"/>
    <w:rsid w:val="00610DBB"/>
    <w:rsid w:val="00621893"/>
    <w:rsid w:val="006351E1"/>
    <w:rsid w:val="00643C22"/>
    <w:rsid w:val="006447B1"/>
    <w:rsid w:val="00661B5D"/>
    <w:rsid w:val="00662775"/>
    <w:rsid w:val="00662954"/>
    <w:rsid w:val="006654F9"/>
    <w:rsid w:val="00667C95"/>
    <w:rsid w:val="006852FC"/>
    <w:rsid w:val="006A25BC"/>
    <w:rsid w:val="006B40AB"/>
    <w:rsid w:val="006B5DC5"/>
    <w:rsid w:val="006C4BFD"/>
    <w:rsid w:val="006C7D30"/>
    <w:rsid w:val="006E3C08"/>
    <w:rsid w:val="006F34CE"/>
    <w:rsid w:val="00700ACF"/>
    <w:rsid w:val="007018E9"/>
    <w:rsid w:val="00712487"/>
    <w:rsid w:val="007404F5"/>
    <w:rsid w:val="00740A88"/>
    <w:rsid w:val="007530CA"/>
    <w:rsid w:val="00756D68"/>
    <w:rsid w:val="007578D9"/>
    <w:rsid w:val="00757E8A"/>
    <w:rsid w:val="00763E43"/>
    <w:rsid w:val="00764EB5"/>
    <w:rsid w:val="0077261B"/>
    <w:rsid w:val="007768BD"/>
    <w:rsid w:val="00777A95"/>
    <w:rsid w:val="00782416"/>
    <w:rsid w:val="00785E80"/>
    <w:rsid w:val="007A1528"/>
    <w:rsid w:val="007B0364"/>
    <w:rsid w:val="007B1738"/>
    <w:rsid w:val="007D0060"/>
    <w:rsid w:val="007D0981"/>
    <w:rsid w:val="007D1929"/>
    <w:rsid w:val="007E18A8"/>
    <w:rsid w:val="007E530A"/>
    <w:rsid w:val="007F1C0A"/>
    <w:rsid w:val="00803CF1"/>
    <w:rsid w:val="008104BB"/>
    <w:rsid w:val="008249C5"/>
    <w:rsid w:val="00840237"/>
    <w:rsid w:val="0084597B"/>
    <w:rsid w:val="008512AC"/>
    <w:rsid w:val="008526F9"/>
    <w:rsid w:val="0085285E"/>
    <w:rsid w:val="00853023"/>
    <w:rsid w:val="008534D4"/>
    <w:rsid w:val="00861B47"/>
    <w:rsid w:val="0086479E"/>
    <w:rsid w:val="00865DDD"/>
    <w:rsid w:val="00870CD9"/>
    <w:rsid w:val="00881E28"/>
    <w:rsid w:val="00894C4B"/>
    <w:rsid w:val="008A12E3"/>
    <w:rsid w:val="008A42FA"/>
    <w:rsid w:val="008B0AC7"/>
    <w:rsid w:val="008C2335"/>
    <w:rsid w:val="008C67C1"/>
    <w:rsid w:val="008D1D39"/>
    <w:rsid w:val="008F07D2"/>
    <w:rsid w:val="008F3E01"/>
    <w:rsid w:val="008F7B64"/>
    <w:rsid w:val="0091072F"/>
    <w:rsid w:val="00917851"/>
    <w:rsid w:val="00917F65"/>
    <w:rsid w:val="009311E7"/>
    <w:rsid w:val="00942694"/>
    <w:rsid w:val="00986931"/>
    <w:rsid w:val="009A7E3A"/>
    <w:rsid w:val="009B1265"/>
    <w:rsid w:val="009B4A15"/>
    <w:rsid w:val="009B5693"/>
    <w:rsid w:val="009C61A2"/>
    <w:rsid w:val="009C78E4"/>
    <w:rsid w:val="009D373D"/>
    <w:rsid w:val="009D687E"/>
    <w:rsid w:val="009F2A73"/>
    <w:rsid w:val="009F3BF2"/>
    <w:rsid w:val="009F6DE7"/>
    <w:rsid w:val="009F74A9"/>
    <w:rsid w:val="00A0446C"/>
    <w:rsid w:val="00A10583"/>
    <w:rsid w:val="00A16FBA"/>
    <w:rsid w:val="00A37B2C"/>
    <w:rsid w:val="00A37FCB"/>
    <w:rsid w:val="00A54863"/>
    <w:rsid w:val="00A61753"/>
    <w:rsid w:val="00A61D74"/>
    <w:rsid w:val="00A7145B"/>
    <w:rsid w:val="00A761F3"/>
    <w:rsid w:val="00A81058"/>
    <w:rsid w:val="00A8688B"/>
    <w:rsid w:val="00A91163"/>
    <w:rsid w:val="00A9286F"/>
    <w:rsid w:val="00A94566"/>
    <w:rsid w:val="00A96255"/>
    <w:rsid w:val="00A9634E"/>
    <w:rsid w:val="00AA6443"/>
    <w:rsid w:val="00AB285B"/>
    <w:rsid w:val="00AE493E"/>
    <w:rsid w:val="00AF5552"/>
    <w:rsid w:val="00AF5CB4"/>
    <w:rsid w:val="00AF5ED1"/>
    <w:rsid w:val="00AF71D6"/>
    <w:rsid w:val="00B00A29"/>
    <w:rsid w:val="00B01528"/>
    <w:rsid w:val="00B025D8"/>
    <w:rsid w:val="00B216EE"/>
    <w:rsid w:val="00B3175F"/>
    <w:rsid w:val="00B31E2C"/>
    <w:rsid w:val="00B329B0"/>
    <w:rsid w:val="00B339CC"/>
    <w:rsid w:val="00B340EC"/>
    <w:rsid w:val="00B402D8"/>
    <w:rsid w:val="00B4237C"/>
    <w:rsid w:val="00B42FE8"/>
    <w:rsid w:val="00B52AFD"/>
    <w:rsid w:val="00B536FF"/>
    <w:rsid w:val="00B54077"/>
    <w:rsid w:val="00B72BD3"/>
    <w:rsid w:val="00B8087E"/>
    <w:rsid w:val="00BB0F3C"/>
    <w:rsid w:val="00BB61CC"/>
    <w:rsid w:val="00BB646E"/>
    <w:rsid w:val="00BD034D"/>
    <w:rsid w:val="00BD1BA1"/>
    <w:rsid w:val="00BF0F06"/>
    <w:rsid w:val="00C019E5"/>
    <w:rsid w:val="00C0551D"/>
    <w:rsid w:val="00C35BC4"/>
    <w:rsid w:val="00C43F5B"/>
    <w:rsid w:val="00C52298"/>
    <w:rsid w:val="00C62C90"/>
    <w:rsid w:val="00C62F4B"/>
    <w:rsid w:val="00C855C0"/>
    <w:rsid w:val="00C91F15"/>
    <w:rsid w:val="00CA60F2"/>
    <w:rsid w:val="00CB0815"/>
    <w:rsid w:val="00CB33FC"/>
    <w:rsid w:val="00CB4371"/>
    <w:rsid w:val="00CC2557"/>
    <w:rsid w:val="00CC4B2F"/>
    <w:rsid w:val="00CC516D"/>
    <w:rsid w:val="00CD11BE"/>
    <w:rsid w:val="00CE4278"/>
    <w:rsid w:val="00D1160E"/>
    <w:rsid w:val="00D24330"/>
    <w:rsid w:val="00D34340"/>
    <w:rsid w:val="00D40056"/>
    <w:rsid w:val="00D51E7C"/>
    <w:rsid w:val="00D54F29"/>
    <w:rsid w:val="00D63F4D"/>
    <w:rsid w:val="00D7020C"/>
    <w:rsid w:val="00D70AD9"/>
    <w:rsid w:val="00D72152"/>
    <w:rsid w:val="00D72188"/>
    <w:rsid w:val="00D828C5"/>
    <w:rsid w:val="00D83A29"/>
    <w:rsid w:val="00D94BA5"/>
    <w:rsid w:val="00D9510F"/>
    <w:rsid w:val="00DA13EC"/>
    <w:rsid w:val="00DA615C"/>
    <w:rsid w:val="00DA6A8E"/>
    <w:rsid w:val="00DC3876"/>
    <w:rsid w:val="00DD1BC6"/>
    <w:rsid w:val="00DE0114"/>
    <w:rsid w:val="00DE5DC3"/>
    <w:rsid w:val="00E00D8A"/>
    <w:rsid w:val="00E04C0B"/>
    <w:rsid w:val="00E06DE0"/>
    <w:rsid w:val="00E1050F"/>
    <w:rsid w:val="00E11604"/>
    <w:rsid w:val="00E11D92"/>
    <w:rsid w:val="00E130A0"/>
    <w:rsid w:val="00E210C4"/>
    <w:rsid w:val="00E23DB7"/>
    <w:rsid w:val="00E241E2"/>
    <w:rsid w:val="00E44638"/>
    <w:rsid w:val="00E46D96"/>
    <w:rsid w:val="00E51E20"/>
    <w:rsid w:val="00E52CCA"/>
    <w:rsid w:val="00E559F3"/>
    <w:rsid w:val="00E66409"/>
    <w:rsid w:val="00E81D5B"/>
    <w:rsid w:val="00E976B9"/>
    <w:rsid w:val="00EA05D3"/>
    <w:rsid w:val="00EA2208"/>
    <w:rsid w:val="00EA2DE3"/>
    <w:rsid w:val="00EB19AD"/>
    <w:rsid w:val="00EB2F31"/>
    <w:rsid w:val="00EB6493"/>
    <w:rsid w:val="00EC2915"/>
    <w:rsid w:val="00EC36EF"/>
    <w:rsid w:val="00ED05A9"/>
    <w:rsid w:val="00ED1BA0"/>
    <w:rsid w:val="00ED488D"/>
    <w:rsid w:val="00EF79D4"/>
    <w:rsid w:val="00F0630B"/>
    <w:rsid w:val="00F17257"/>
    <w:rsid w:val="00F20FB5"/>
    <w:rsid w:val="00F34D24"/>
    <w:rsid w:val="00F4130B"/>
    <w:rsid w:val="00F42CD3"/>
    <w:rsid w:val="00F556A2"/>
    <w:rsid w:val="00F56995"/>
    <w:rsid w:val="00F7016F"/>
    <w:rsid w:val="00F719A8"/>
    <w:rsid w:val="00F77363"/>
    <w:rsid w:val="00F775A0"/>
    <w:rsid w:val="00F817C8"/>
    <w:rsid w:val="00F878B9"/>
    <w:rsid w:val="00F91049"/>
    <w:rsid w:val="00F95225"/>
    <w:rsid w:val="00FA1C47"/>
    <w:rsid w:val="00FB24E8"/>
    <w:rsid w:val="00FB3B2B"/>
    <w:rsid w:val="00FB7D7B"/>
    <w:rsid w:val="00FC18DA"/>
    <w:rsid w:val="00FC3917"/>
    <w:rsid w:val="00FD60DA"/>
    <w:rsid w:val="00FF07B4"/>
    <w:rsid w:val="30D4ACC7"/>
    <w:rsid w:val="33F7F4DA"/>
    <w:rsid w:val="3FC8EF14"/>
    <w:rsid w:val="7A20B3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Ttulo1">
    <w:name w:val="heading 1"/>
    <w:basedOn w:val="Normal"/>
    <w:next w:val="Normal"/>
    <w:link w:val="Ttulo1C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Textodeglobo">
    <w:name w:val="Balloon Text"/>
    <w:basedOn w:val="Normal"/>
    <w:link w:val="TextodegloboCar"/>
    <w:uiPriority w:val="99"/>
    <w:semiHidden/>
    <w:unhideWhenUsed/>
    <w:rsid w:val="00D70A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AD9"/>
    <w:rPr>
      <w:rFonts w:ascii="Tahoma" w:hAnsi="Tahoma" w:cs="Tahoma"/>
      <w:sz w:val="16"/>
      <w:szCs w:val="16"/>
    </w:rPr>
  </w:style>
  <w:style w:type="character" w:styleId="Refdecomentario">
    <w:name w:val="annotation reference"/>
    <w:basedOn w:val="Fuentedeprrafopredeter"/>
    <w:uiPriority w:val="99"/>
    <w:semiHidden/>
    <w:unhideWhenUsed/>
    <w:rsid w:val="00A61D74"/>
    <w:rPr>
      <w:sz w:val="16"/>
      <w:szCs w:val="16"/>
    </w:rPr>
  </w:style>
  <w:style w:type="paragraph" w:styleId="Textocomentario">
    <w:name w:val="annotation text"/>
    <w:basedOn w:val="Normal"/>
    <w:link w:val="TextocomentarioCar"/>
    <w:uiPriority w:val="99"/>
    <w:semiHidden/>
    <w:unhideWhenUsed/>
    <w:rsid w:val="00A61D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1D74"/>
    <w:rPr>
      <w:sz w:val="20"/>
      <w:szCs w:val="20"/>
    </w:rPr>
  </w:style>
  <w:style w:type="paragraph" w:styleId="Asuntodelcomentario">
    <w:name w:val="annotation subject"/>
    <w:basedOn w:val="Textocomentario"/>
    <w:next w:val="Textocomentario"/>
    <w:link w:val="AsuntodelcomentarioCar"/>
    <w:uiPriority w:val="99"/>
    <w:semiHidden/>
    <w:unhideWhenUsed/>
    <w:rsid w:val="00A61D74"/>
    <w:rPr>
      <w:b/>
      <w:bCs/>
    </w:rPr>
  </w:style>
  <w:style w:type="character" w:customStyle="1" w:styleId="AsuntodelcomentarioCar">
    <w:name w:val="Asunto del comentario Car"/>
    <w:basedOn w:val="TextocomentarioCar"/>
    <w:link w:val="Asuntodelcomentario"/>
    <w:uiPriority w:val="99"/>
    <w:semiHidden/>
    <w:rsid w:val="00A61D74"/>
    <w:rPr>
      <w:b/>
      <w:bCs/>
      <w:sz w:val="20"/>
      <w:szCs w:val="20"/>
    </w:rPr>
  </w:style>
  <w:style w:type="paragraph" w:styleId="Prrafodelista">
    <w:name w:val="List Paragraph"/>
    <w:basedOn w:val="Normal"/>
    <w:uiPriority w:val="34"/>
    <w:qFormat/>
    <w:rsid w:val="00A61D74"/>
    <w:pPr>
      <w:ind w:left="720"/>
      <w:contextualSpacing/>
    </w:pPr>
  </w:style>
  <w:style w:type="character" w:styleId="Hipervnculo">
    <w:name w:val="Hyperlink"/>
    <w:basedOn w:val="Fuentedeprrafopredeter"/>
    <w:uiPriority w:val="99"/>
    <w:unhideWhenUsed/>
    <w:rsid w:val="00621893"/>
    <w:rPr>
      <w:color w:val="0000FF" w:themeColor="hyperlink"/>
      <w:u w:val="single"/>
    </w:rPr>
  </w:style>
  <w:style w:type="paragraph" w:styleId="Encabezado">
    <w:name w:val="header"/>
    <w:basedOn w:val="Normal"/>
    <w:link w:val="EncabezadoCar"/>
    <w:uiPriority w:val="99"/>
    <w:unhideWhenUsed/>
    <w:rsid w:val="00573C0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73C0B"/>
  </w:style>
  <w:style w:type="paragraph" w:styleId="Piedepgina">
    <w:name w:val="footer"/>
    <w:basedOn w:val="Normal"/>
    <w:link w:val="PiedepginaCar"/>
    <w:uiPriority w:val="99"/>
    <w:unhideWhenUsed/>
    <w:rsid w:val="00573C0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Fuentedeprrafopredeter"/>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Fuentedeprrafopredeter"/>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Fuentedeprrafopredeter"/>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Fuentedeprrafopredeter"/>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Fuentedeprrafopredeter"/>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Fuentedeprrafopredeter"/>
    <w:uiPriority w:val="99"/>
    <w:semiHidden/>
    <w:unhideWhenUsed/>
    <w:rsid w:val="00B329B0"/>
    <w:rPr>
      <w:color w:val="808080"/>
      <w:shd w:val="clear" w:color="auto" w:fill="E6E6E6"/>
    </w:rPr>
  </w:style>
  <w:style w:type="character" w:styleId="Textodelmarcadordeposicin">
    <w:name w:val="Placeholder Text"/>
    <w:basedOn w:val="Fuentedeprrafopredeter"/>
    <w:uiPriority w:val="99"/>
    <w:semiHidden/>
    <w:rsid w:val="00B329B0"/>
    <w:rPr>
      <w:color w:val="808080"/>
    </w:rPr>
  </w:style>
  <w:style w:type="table" w:styleId="Tablaconcuadrcula">
    <w:name w:val="Table Grid"/>
    <w:basedOn w:val="Tabla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96255"/>
    <w:pPr>
      <w:spacing w:after="0" w:line="240" w:lineRule="auto"/>
    </w:pPr>
    <w:rPr>
      <w:rFonts w:eastAsiaTheme="minorHAnsi"/>
      <w:sz w:val="20"/>
      <w:szCs w:val="20"/>
      <w:lang w:val="en-US" w:eastAsia="en-US"/>
    </w:rPr>
  </w:style>
  <w:style w:type="character" w:customStyle="1" w:styleId="TextonotaalfinalCar">
    <w:name w:val="Texto nota al final Car"/>
    <w:basedOn w:val="Fuentedeprrafopredeter"/>
    <w:link w:val="Textonotaalfinal"/>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n">
    <w:name w:val="Revision"/>
    <w:hidden/>
    <w:uiPriority w:val="99"/>
    <w:semiHidden/>
    <w:rsid w:val="00870CD9"/>
    <w:pPr>
      <w:spacing w:after="0" w:line="240" w:lineRule="auto"/>
    </w:pPr>
  </w:style>
  <w:style w:type="character" w:styleId="Mencinsinresolver">
    <w:name w:val="Unresolved Mention"/>
    <w:basedOn w:val="Fuentedeprrafopredeter"/>
    <w:uiPriority w:val="99"/>
    <w:semiHidden/>
    <w:unhideWhenUsed/>
    <w:rsid w:val="00B72BD3"/>
    <w:rPr>
      <w:color w:val="605E5C"/>
      <w:shd w:val="clear" w:color="auto" w:fill="E1DFDD"/>
    </w:rPr>
  </w:style>
  <w:style w:type="character" w:customStyle="1" w:styleId="ui-provider">
    <w:name w:val="ui-provider"/>
    <w:basedOn w:val="Fuentedeprrafopredeter"/>
    <w:rsid w:val="004F0F61"/>
  </w:style>
  <w:style w:type="character" w:customStyle="1" w:styleId="normaltextrun">
    <w:name w:val="normaltextrun"/>
    <w:basedOn w:val="Fuentedeprrafopredeter"/>
    <w:rsid w:val="00A7145B"/>
  </w:style>
  <w:style w:type="paragraph" w:customStyle="1" w:styleId="paragraph">
    <w:name w:val="paragraph"/>
    <w:basedOn w:val="Normal"/>
    <w:rsid w:val="00392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392B2E"/>
  </w:style>
  <w:style w:type="character" w:styleId="Hipervnculovisitado">
    <w:name w:val="FollowedHyperlink"/>
    <w:basedOn w:val="Fuentedeprrafopredeter"/>
    <w:uiPriority w:val="99"/>
    <w:semiHidden/>
    <w:unhideWhenUsed/>
    <w:rsid w:val="00F20FB5"/>
    <w:rPr>
      <w:color w:val="800080" w:themeColor="followedHyperlink"/>
      <w:u w:val="single"/>
    </w:rPr>
  </w:style>
  <w:style w:type="paragraph" w:styleId="NormalWeb">
    <w:name w:val="Normal (Web)"/>
    <w:basedOn w:val="Normal"/>
    <w:uiPriority w:val="99"/>
    <w:semiHidden/>
    <w:unhideWhenUsed/>
    <w:rsid w:val="003039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82066">
      <w:bodyDiv w:val="1"/>
      <w:marLeft w:val="0"/>
      <w:marRight w:val="0"/>
      <w:marTop w:val="0"/>
      <w:marBottom w:val="0"/>
      <w:divBdr>
        <w:top w:val="none" w:sz="0" w:space="0" w:color="auto"/>
        <w:left w:val="none" w:sz="0" w:space="0" w:color="auto"/>
        <w:bottom w:val="none" w:sz="0" w:space="0" w:color="auto"/>
        <w:right w:val="none" w:sz="0" w:space="0" w:color="auto"/>
      </w:divBdr>
    </w:div>
    <w:div w:id="222107591">
      <w:bodyDiv w:val="1"/>
      <w:marLeft w:val="0"/>
      <w:marRight w:val="0"/>
      <w:marTop w:val="0"/>
      <w:marBottom w:val="0"/>
      <w:divBdr>
        <w:top w:val="none" w:sz="0" w:space="0" w:color="auto"/>
        <w:left w:val="none" w:sz="0" w:space="0" w:color="auto"/>
        <w:bottom w:val="none" w:sz="0" w:space="0" w:color="auto"/>
        <w:right w:val="none" w:sz="0" w:space="0" w:color="auto"/>
      </w:divBdr>
    </w:div>
    <w:div w:id="257956467">
      <w:bodyDiv w:val="1"/>
      <w:marLeft w:val="0"/>
      <w:marRight w:val="0"/>
      <w:marTop w:val="0"/>
      <w:marBottom w:val="0"/>
      <w:divBdr>
        <w:top w:val="none" w:sz="0" w:space="0" w:color="auto"/>
        <w:left w:val="none" w:sz="0" w:space="0" w:color="auto"/>
        <w:bottom w:val="none" w:sz="0" w:space="0" w:color="auto"/>
        <w:right w:val="none" w:sz="0" w:space="0" w:color="auto"/>
      </w:divBdr>
    </w:div>
    <w:div w:id="372316772">
      <w:bodyDiv w:val="1"/>
      <w:marLeft w:val="0"/>
      <w:marRight w:val="0"/>
      <w:marTop w:val="0"/>
      <w:marBottom w:val="0"/>
      <w:divBdr>
        <w:top w:val="none" w:sz="0" w:space="0" w:color="auto"/>
        <w:left w:val="none" w:sz="0" w:space="0" w:color="auto"/>
        <w:bottom w:val="none" w:sz="0" w:space="0" w:color="auto"/>
        <w:right w:val="none" w:sz="0" w:space="0" w:color="auto"/>
      </w:divBdr>
    </w:div>
    <w:div w:id="399062567">
      <w:bodyDiv w:val="1"/>
      <w:marLeft w:val="0"/>
      <w:marRight w:val="0"/>
      <w:marTop w:val="0"/>
      <w:marBottom w:val="0"/>
      <w:divBdr>
        <w:top w:val="none" w:sz="0" w:space="0" w:color="auto"/>
        <w:left w:val="none" w:sz="0" w:space="0" w:color="auto"/>
        <w:bottom w:val="none" w:sz="0" w:space="0" w:color="auto"/>
        <w:right w:val="none" w:sz="0" w:space="0" w:color="auto"/>
      </w:divBdr>
    </w:div>
    <w:div w:id="492913719">
      <w:bodyDiv w:val="1"/>
      <w:marLeft w:val="0"/>
      <w:marRight w:val="0"/>
      <w:marTop w:val="0"/>
      <w:marBottom w:val="0"/>
      <w:divBdr>
        <w:top w:val="none" w:sz="0" w:space="0" w:color="auto"/>
        <w:left w:val="none" w:sz="0" w:space="0" w:color="auto"/>
        <w:bottom w:val="none" w:sz="0" w:space="0" w:color="auto"/>
        <w:right w:val="none" w:sz="0" w:space="0" w:color="auto"/>
      </w:divBdr>
    </w:div>
    <w:div w:id="600648880">
      <w:bodyDiv w:val="1"/>
      <w:marLeft w:val="0"/>
      <w:marRight w:val="0"/>
      <w:marTop w:val="0"/>
      <w:marBottom w:val="0"/>
      <w:divBdr>
        <w:top w:val="none" w:sz="0" w:space="0" w:color="auto"/>
        <w:left w:val="none" w:sz="0" w:space="0" w:color="auto"/>
        <w:bottom w:val="none" w:sz="0" w:space="0" w:color="auto"/>
        <w:right w:val="none" w:sz="0" w:space="0" w:color="auto"/>
      </w:divBdr>
    </w:div>
    <w:div w:id="653334805">
      <w:bodyDiv w:val="1"/>
      <w:marLeft w:val="0"/>
      <w:marRight w:val="0"/>
      <w:marTop w:val="0"/>
      <w:marBottom w:val="0"/>
      <w:divBdr>
        <w:top w:val="none" w:sz="0" w:space="0" w:color="auto"/>
        <w:left w:val="none" w:sz="0" w:space="0" w:color="auto"/>
        <w:bottom w:val="none" w:sz="0" w:space="0" w:color="auto"/>
        <w:right w:val="none" w:sz="0" w:space="0" w:color="auto"/>
      </w:divBdr>
    </w:div>
    <w:div w:id="728766264">
      <w:bodyDiv w:val="1"/>
      <w:marLeft w:val="0"/>
      <w:marRight w:val="0"/>
      <w:marTop w:val="0"/>
      <w:marBottom w:val="0"/>
      <w:divBdr>
        <w:top w:val="none" w:sz="0" w:space="0" w:color="auto"/>
        <w:left w:val="none" w:sz="0" w:space="0" w:color="auto"/>
        <w:bottom w:val="none" w:sz="0" w:space="0" w:color="auto"/>
        <w:right w:val="none" w:sz="0" w:space="0" w:color="auto"/>
      </w:divBdr>
    </w:div>
    <w:div w:id="742991160">
      <w:bodyDiv w:val="1"/>
      <w:marLeft w:val="0"/>
      <w:marRight w:val="0"/>
      <w:marTop w:val="0"/>
      <w:marBottom w:val="0"/>
      <w:divBdr>
        <w:top w:val="none" w:sz="0" w:space="0" w:color="auto"/>
        <w:left w:val="none" w:sz="0" w:space="0" w:color="auto"/>
        <w:bottom w:val="none" w:sz="0" w:space="0" w:color="auto"/>
        <w:right w:val="none" w:sz="0" w:space="0" w:color="auto"/>
      </w:divBdr>
    </w:div>
    <w:div w:id="752625970">
      <w:bodyDiv w:val="1"/>
      <w:marLeft w:val="0"/>
      <w:marRight w:val="0"/>
      <w:marTop w:val="0"/>
      <w:marBottom w:val="0"/>
      <w:divBdr>
        <w:top w:val="none" w:sz="0" w:space="0" w:color="auto"/>
        <w:left w:val="none" w:sz="0" w:space="0" w:color="auto"/>
        <w:bottom w:val="none" w:sz="0" w:space="0" w:color="auto"/>
        <w:right w:val="none" w:sz="0" w:space="0" w:color="auto"/>
      </w:divBdr>
    </w:div>
    <w:div w:id="761074107">
      <w:bodyDiv w:val="1"/>
      <w:marLeft w:val="0"/>
      <w:marRight w:val="0"/>
      <w:marTop w:val="0"/>
      <w:marBottom w:val="0"/>
      <w:divBdr>
        <w:top w:val="none" w:sz="0" w:space="0" w:color="auto"/>
        <w:left w:val="none" w:sz="0" w:space="0" w:color="auto"/>
        <w:bottom w:val="none" w:sz="0" w:space="0" w:color="auto"/>
        <w:right w:val="none" w:sz="0" w:space="0" w:color="auto"/>
      </w:divBdr>
    </w:div>
    <w:div w:id="845368288">
      <w:bodyDiv w:val="1"/>
      <w:marLeft w:val="0"/>
      <w:marRight w:val="0"/>
      <w:marTop w:val="0"/>
      <w:marBottom w:val="0"/>
      <w:divBdr>
        <w:top w:val="none" w:sz="0" w:space="0" w:color="auto"/>
        <w:left w:val="none" w:sz="0" w:space="0" w:color="auto"/>
        <w:bottom w:val="none" w:sz="0" w:space="0" w:color="auto"/>
        <w:right w:val="none" w:sz="0" w:space="0" w:color="auto"/>
      </w:divBdr>
    </w:div>
    <w:div w:id="877472791">
      <w:bodyDiv w:val="1"/>
      <w:marLeft w:val="0"/>
      <w:marRight w:val="0"/>
      <w:marTop w:val="0"/>
      <w:marBottom w:val="0"/>
      <w:divBdr>
        <w:top w:val="none" w:sz="0" w:space="0" w:color="auto"/>
        <w:left w:val="none" w:sz="0" w:space="0" w:color="auto"/>
        <w:bottom w:val="none" w:sz="0" w:space="0" w:color="auto"/>
        <w:right w:val="none" w:sz="0" w:space="0" w:color="auto"/>
      </w:divBdr>
    </w:div>
    <w:div w:id="893977305">
      <w:bodyDiv w:val="1"/>
      <w:marLeft w:val="0"/>
      <w:marRight w:val="0"/>
      <w:marTop w:val="0"/>
      <w:marBottom w:val="0"/>
      <w:divBdr>
        <w:top w:val="none" w:sz="0" w:space="0" w:color="auto"/>
        <w:left w:val="none" w:sz="0" w:space="0" w:color="auto"/>
        <w:bottom w:val="none" w:sz="0" w:space="0" w:color="auto"/>
        <w:right w:val="none" w:sz="0" w:space="0" w:color="auto"/>
      </w:divBdr>
    </w:div>
    <w:div w:id="945623093">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26587203">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6282002">
      <w:bodyDiv w:val="1"/>
      <w:marLeft w:val="0"/>
      <w:marRight w:val="0"/>
      <w:marTop w:val="0"/>
      <w:marBottom w:val="0"/>
      <w:divBdr>
        <w:top w:val="none" w:sz="0" w:space="0" w:color="auto"/>
        <w:left w:val="none" w:sz="0" w:space="0" w:color="auto"/>
        <w:bottom w:val="none" w:sz="0" w:space="0" w:color="auto"/>
        <w:right w:val="none" w:sz="0" w:space="0" w:color="auto"/>
      </w:divBdr>
      <w:divsChild>
        <w:div w:id="571894154">
          <w:marLeft w:val="0"/>
          <w:marRight w:val="0"/>
          <w:marTop w:val="0"/>
          <w:marBottom w:val="120"/>
          <w:divBdr>
            <w:top w:val="none" w:sz="0" w:space="0" w:color="auto"/>
            <w:left w:val="none" w:sz="0" w:space="0" w:color="auto"/>
            <w:bottom w:val="none" w:sz="0" w:space="0" w:color="auto"/>
            <w:right w:val="none" w:sz="0" w:space="0" w:color="auto"/>
          </w:divBdr>
        </w:div>
        <w:div w:id="294406664">
          <w:marLeft w:val="0"/>
          <w:marRight w:val="0"/>
          <w:marTop w:val="0"/>
          <w:marBottom w:val="120"/>
          <w:divBdr>
            <w:top w:val="none" w:sz="0" w:space="0" w:color="auto"/>
            <w:left w:val="none" w:sz="0" w:space="0" w:color="auto"/>
            <w:bottom w:val="none" w:sz="0" w:space="0" w:color="auto"/>
            <w:right w:val="none" w:sz="0" w:space="0" w:color="auto"/>
          </w:divBdr>
        </w:div>
      </w:divsChild>
    </w:div>
    <w:div w:id="1174420141">
      <w:bodyDiv w:val="1"/>
      <w:marLeft w:val="0"/>
      <w:marRight w:val="0"/>
      <w:marTop w:val="0"/>
      <w:marBottom w:val="0"/>
      <w:divBdr>
        <w:top w:val="none" w:sz="0" w:space="0" w:color="auto"/>
        <w:left w:val="none" w:sz="0" w:space="0" w:color="auto"/>
        <w:bottom w:val="none" w:sz="0" w:space="0" w:color="auto"/>
        <w:right w:val="none" w:sz="0" w:space="0" w:color="auto"/>
      </w:divBdr>
    </w:div>
    <w:div w:id="1210066363">
      <w:bodyDiv w:val="1"/>
      <w:marLeft w:val="0"/>
      <w:marRight w:val="0"/>
      <w:marTop w:val="0"/>
      <w:marBottom w:val="0"/>
      <w:divBdr>
        <w:top w:val="none" w:sz="0" w:space="0" w:color="auto"/>
        <w:left w:val="none" w:sz="0" w:space="0" w:color="auto"/>
        <w:bottom w:val="none" w:sz="0" w:space="0" w:color="auto"/>
        <w:right w:val="none" w:sz="0" w:space="0" w:color="auto"/>
      </w:divBdr>
    </w:div>
    <w:div w:id="1235628933">
      <w:bodyDiv w:val="1"/>
      <w:marLeft w:val="0"/>
      <w:marRight w:val="0"/>
      <w:marTop w:val="0"/>
      <w:marBottom w:val="0"/>
      <w:divBdr>
        <w:top w:val="none" w:sz="0" w:space="0" w:color="auto"/>
        <w:left w:val="none" w:sz="0" w:space="0" w:color="auto"/>
        <w:bottom w:val="none" w:sz="0" w:space="0" w:color="auto"/>
        <w:right w:val="none" w:sz="0" w:space="0" w:color="auto"/>
      </w:divBdr>
    </w:div>
    <w:div w:id="1237932507">
      <w:bodyDiv w:val="1"/>
      <w:marLeft w:val="0"/>
      <w:marRight w:val="0"/>
      <w:marTop w:val="0"/>
      <w:marBottom w:val="0"/>
      <w:divBdr>
        <w:top w:val="none" w:sz="0" w:space="0" w:color="auto"/>
        <w:left w:val="none" w:sz="0" w:space="0" w:color="auto"/>
        <w:bottom w:val="none" w:sz="0" w:space="0" w:color="auto"/>
        <w:right w:val="none" w:sz="0" w:space="0" w:color="auto"/>
      </w:divBdr>
    </w:div>
    <w:div w:id="1408500525">
      <w:bodyDiv w:val="1"/>
      <w:marLeft w:val="0"/>
      <w:marRight w:val="0"/>
      <w:marTop w:val="0"/>
      <w:marBottom w:val="0"/>
      <w:divBdr>
        <w:top w:val="none" w:sz="0" w:space="0" w:color="auto"/>
        <w:left w:val="none" w:sz="0" w:space="0" w:color="auto"/>
        <w:bottom w:val="none" w:sz="0" w:space="0" w:color="auto"/>
        <w:right w:val="none" w:sz="0" w:space="0" w:color="auto"/>
      </w:divBdr>
    </w:div>
    <w:div w:id="1473133872">
      <w:bodyDiv w:val="1"/>
      <w:marLeft w:val="0"/>
      <w:marRight w:val="0"/>
      <w:marTop w:val="0"/>
      <w:marBottom w:val="0"/>
      <w:divBdr>
        <w:top w:val="none" w:sz="0" w:space="0" w:color="auto"/>
        <w:left w:val="none" w:sz="0" w:space="0" w:color="auto"/>
        <w:bottom w:val="none" w:sz="0" w:space="0" w:color="auto"/>
        <w:right w:val="none" w:sz="0" w:space="0" w:color="auto"/>
      </w:divBdr>
    </w:div>
    <w:div w:id="1511261211">
      <w:bodyDiv w:val="1"/>
      <w:marLeft w:val="0"/>
      <w:marRight w:val="0"/>
      <w:marTop w:val="0"/>
      <w:marBottom w:val="0"/>
      <w:divBdr>
        <w:top w:val="none" w:sz="0" w:space="0" w:color="auto"/>
        <w:left w:val="none" w:sz="0" w:space="0" w:color="auto"/>
        <w:bottom w:val="none" w:sz="0" w:space="0" w:color="auto"/>
        <w:right w:val="none" w:sz="0" w:space="0" w:color="auto"/>
      </w:divBdr>
    </w:div>
    <w:div w:id="1527786527">
      <w:bodyDiv w:val="1"/>
      <w:marLeft w:val="0"/>
      <w:marRight w:val="0"/>
      <w:marTop w:val="0"/>
      <w:marBottom w:val="0"/>
      <w:divBdr>
        <w:top w:val="none" w:sz="0" w:space="0" w:color="auto"/>
        <w:left w:val="none" w:sz="0" w:space="0" w:color="auto"/>
        <w:bottom w:val="none" w:sz="0" w:space="0" w:color="auto"/>
        <w:right w:val="none" w:sz="0" w:space="0" w:color="auto"/>
      </w:divBdr>
    </w:div>
    <w:div w:id="1542673422">
      <w:bodyDiv w:val="1"/>
      <w:marLeft w:val="0"/>
      <w:marRight w:val="0"/>
      <w:marTop w:val="0"/>
      <w:marBottom w:val="0"/>
      <w:divBdr>
        <w:top w:val="none" w:sz="0" w:space="0" w:color="auto"/>
        <w:left w:val="none" w:sz="0" w:space="0" w:color="auto"/>
        <w:bottom w:val="none" w:sz="0" w:space="0" w:color="auto"/>
        <w:right w:val="none" w:sz="0" w:space="0" w:color="auto"/>
      </w:divBdr>
    </w:div>
    <w:div w:id="1603145694">
      <w:bodyDiv w:val="1"/>
      <w:marLeft w:val="0"/>
      <w:marRight w:val="0"/>
      <w:marTop w:val="0"/>
      <w:marBottom w:val="0"/>
      <w:divBdr>
        <w:top w:val="none" w:sz="0" w:space="0" w:color="auto"/>
        <w:left w:val="none" w:sz="0" w:space="0" w:color="auto"/>
        <w:bottom w:val="none" w:sz="0" w:space="0" w:color="auto"/>
        <w:right w:val="none" w:sz="0" w:space="0" w:color="auto"/>
      </w:divBdr>
    </w:div>
    <w:div w:id="1657218385">
      <w:bodyDiv w:val="1"/>
      <w:marLeft w:val="0"/>
      <w:marRight w:val="0"/>
      <w:marTop w:val="0"/>
      <w:marBottom w:val="0"/>
      <w:divBdr>
        <w:top w:val="none" w:sz="0" w:space="0" w:color="auto"/>
        <w:left w:val="none" w:sz="0" w:space="0" w:color="auto"/>
        <w:bottom w:val="none" w:sz="0" w:space="0" w:color="auto"/>
        <w:right w:val="none" w:sz="0" w:space="0" w:color="auto"/>
      </w:divBdr>
    </w:div>
    <w:div w:id="1695691398">
      <w:bodyDiv w:val="1"/>
      <w:marLeft w:val="0"/>
      <w:marRight w:val="0"/>
      <w:marTop w:val="0"/>
      <w:marBottom w:val="0"/>
      <w:divBdr>
        <w:top w:val="none" w:sz="0" w:space="0" w:color="auto"/>
        <w:left w:val="none" w:sz="0" w:space="0" w:color="auto"/>
        <w:bottom w:val="none" w:sz="0" w:space="0" w:color="auto"/>
        <w:right w:val="none" w:sz="0" w:space="0" w:color="auto"/>
      </w:divBdr>
    </w:div>
    <w:div w:id="1714231420">
      <w:bodyDiv w:val="1"/>
      <w:marLeft w:val="0"/>
      <w:marRight w:val="0"/>
      <w:marTop w:val="0"/>
      <w:marBottom w:val="0"/>
      <w:divBdr>
        <w:top w:val="none" w:sz="0" w:space="0" w:color="auto"/>
        <w:left w:val="none" w:sz="0" w:space="0" w:color="auto"/>
        <w:bottom w:val="none" w:sz="0" w:space="0" w:color="auto"/>
        <w:right w:val="none" w:sz="0" w:space="0" w:color="auto"/>
      </w:divBdr>
    </w:div>
    <w:div w:id="1768035388">
      <w:bodyDiv w:val="1"/>
      <w:marLeft w:val="0"/>
      <w:marRight w:val="0"/>
      <w:marTop w:val="0"/>
      <w:marBottom w:val="0"/>
      <w:divBdr>
        <w:top w:val="none" w:sz="0" w:space="0" w:color="auto"/>
        <w:left w:val="none" w:sz="0" w:space="0" w:color="auto"/>
        <w:bottom w:val="none" w:sz="0" w:space="0" w:color="auto"/>
        <w:right w:val="none" w:sz="0" w:space="0" w:color="auto"/>
      </w:divBdr>
    </w:div>
    <w:div w:id="1783499245">
      <w:bodyDiv w:val="1"/>
      <w:marLeft w:val="0"/>
      <w:marRight w:val="0"/>
      <w:marTop w:val="0"/>
      <w:marBottom w:val="0"/>
      <w:divBdr>
        <w:top w:val="none" w:sz="0" w:space="0" w:color="auto"/>
        <w:left w:val="none" w:sz="0" w:space="0" w:color="auto"/>
        <w:bottom w:val="none" w:sz="0" w:space="0" w:color="auto"/>
        <w:right w:val="none" w:sz="0" w:space="0" w:color="auto"/>
      </w:divBdr>
    </w:div>
    <w:div w:id="1842425480">
      <w:bodyDiv w:val="1"/>
      <w:marLeft w:val="0"/>
      <w:marRight w:val="0"/>
      <w:marTop w:val="0"/>
      <w:marBottom w:val="0"/>
      <w:divBdr>
        <w:top w:val="none" w:sz="0" w:space="0" w:color="auto"/>
        <w:left w:val="none" w:sz="0" w:space="0" w:color="auto"/>
        <w:bottom w:val="none" w:sz="0" w:space="0" w:color="auto"/>
        <w:right w:val="none" w:sz="0" w:space="0" w:color="auto"/>
      </w:divBdr>
    </w:div>
    <w:div w:id="1936942754">
      <w:bodyDiv w:val="1"/>
      <w:marLeft w:val="0"/>
      <w:marRight w:val="0"/>
      <w:marTop w:val="0"/>
      <w:marBottom w:val="0"/>
      <w:divBdr>
        <w:top w:val="none" w:sz="0" w:space="0" w:color="auto"/>
        <w:left w:val="none" w:sz="0" w:space="0" w:color="auto"/>
        <w:bottom w:val="none" w:sz="0" w:space="0" w:color="auto"/>
        <w:right w:val="none" w:sz="0" w:space="0" w:color="auto"/>
      </w:divBdr>
    </w:div>
    <w:div w:id="1940287471">
      <w:bodyDiv w:val="1"/>
      <w:marLeft w:val="0"/>
      <w:marRight w:val="0"/>
      <w:marTop w:val="0"/>
      <w:marBottom w:val="0"/>
      <w:divBdr>
        <w:top w:val="none" w:sz="0" w:space="0" w:color="auto"/>
        <w:left w:val="none" w:sz="0" w:space="0" w:color="auto"/>
        <w:bottom w:val="none" w:sz="0" w:space="0" w:color="auto"/>
        <w:right w:val="none" w:sz="0" w:space="0" w:color="auto"/>
      </w:divBdr>
    </w:div>
    <w:div w:id="1974677833">
      <w:bodyDiv w:val="1"/>
      <w:marLeft w:val="0"/>
      <w:marRight w:val="0"/>
      <w:marTop w:val="0"/>
      <w:marBottom w:val="0"/>
      <w:divBdr>
        <w:top w:val="none" w:sz="0" w:space="0" w:color="auto"/>
        <w:left w:val="none" w:sz="0" w:space="0" w:color="auto"/>
        <w:bottom w:val="none" w:sz="0" w:space="0" w:color="auto"/>
        <w:right w:val="none" w:sz="0" w:space="0" w:color="auto"/>
      </w:divBdr>
    </w:div>
    <w:div w:id="1985574106">
      <w:bodyDiv w:val="1"/>
      <w:marLeft w:val="0"/>
      <w:marRight w:val="0"/>
      <w:marTop w:val="0"/>
      <w:marBottom w:val="0"/>
      <w:divBdr>
        <w:top w:val="none" w:sz="0" w:space="0" w:color="auto"/>
        <w:left w:val="none" w:sz="0" w:space="0" w:color="auto"/>
        <w:bottom w:val="none" w:sz="0" w:space="0" w:color="auto"/>
        <w:right w:val="none" w:sz="0" w:space="0" w:color="auto"/>
      </w:divBdr>
    </w:div>
    <w:div w:id="1998260211">
      <w:bodyDiv w:val="1"/>
      <w:marLeft w:val="0"/>
      <w:marRight w:val="0"/>
      <w:marTop w:val="0"/>
      <w:marBottom w:val="0"/>
      <w:divBdr>
        <w:top w:val="none" w:sz="0" w:space="0" w:color="auto"/>
        <w:left w:val="none" w:sz="0" w:space="0" w:color="auto"/>
        <w:bottom w:val="none" w:sz="0" w:space="0" w:color="auto"/>
        <w:right w:val="none" w:sz="0" w:space="0" w:color="auto"/>
      </w:divBdr>
    </w:div>
    <w:div w:id="2002927603">
      <w:bodyDiv w:val="1"/>
      <w:marLeft w:val="0"/>
      <w:marRight w:val="0"/>
      <w:marTop w:val="0"/>
      <w:marBottom w:val="0"/>
      <w:divBdr>
        <w:top w:val="none" w:sz="0" w:space="0" w:color="auto"/>
        <w:left w:val="none" w:sz="0" w:space="0" w:color="auto"/>
        <w:bottom w:val="none" w:sz="0" w:space="0" w:color="auto"/>
        <w:right w:val="none" w:sz="0" w:space="0" w:color="auto"/>
      </w:divBdr>
    </w:div>
    <w:div w:id="2018342961">
      <w:bodyDiv w:val="1"/>
      <w:marLeft w:val="0"/>
      <w:marRight w:val="0"/>
      <w:marTop w:val="0"/>
      <w:marBottom w:val="0"/>
      <w:divBdr>
        <w:top w:val="none" w:sz="0" w:space="0" w:color="auto"/>
        <w:left w:val="none" w:sz="0" w:space="0" w:color="auto"/>
        <w:bottom w:val="none" w:sz="0" w:space="0" w:color="auto"/>
        <w:right w:val="none" w:sz="0" w:space="0" w:color="auto"/>
      </w:divBdr>
    </w:div>
    <w:div w:id="2032029835">
      <w:bodyDiv w:val="1"/>
      <w:marLeft w:val="0"/>
      <w:marRight w:val="0"/>
      <w:marTop w:val="0"/>
      <w:marBottom w:val="0"/>
      <w:divBdr>
        <w:top w:val="none" w:sz="0" w:space="0" w:color="auto"/>
        <w:left w:val="none" w:sz="0" w:space="0" w:color="auto"/>
        <w:bottom w:val="none" w:sz="0" w:space="0" w:color="auto"/>
        <w:right w:val="none" w:sz="0" w:space="0" w:color="auto"/>
      </w:divBdr>
    </w:div>
    <w:div w:id="2043938879">
      <w:bodyDiv w:val="1"/>
      <w:marLeft w:val="0"/>
      <w:marRight w:val="0"/>
      <w:marTop w:val="0"/>
      <w:marBottom w:val="0"/>
      <w:divBdr>
        <w:top w:val="none" w:sz="0" w:space="0" w:color="auto"/>
        <w:left w:val="none" w:sz="0" w:space="0" w:color="auto"/>
        <w:bottom w:val="none" w:sz="0" w:space="0" w:color="auto"/>
        <w:right w:val="none" w:sz="0" w:space="0" w:color="auto"/>
      </w:divBdr>
    </w:div>
    <w:div w:id="2065519835">
      <w:bodyDiv w:val="1"/>
      <w:marLeft w:val="0"/>
      <w:marRight w:val="0"/>
      <w:marTop w:val="0"/>
      <w:marBottom w:val="0"/>
      <w:divBdr>
        <w:top w:val="none" w:sz="0" w:space="0" w:color="auto"/>
        <w:left w:val="none" w:sz="0" w:space="0" w:color="auto"/>
        <w:bottom w:val="none" w:sz="0" w:space="0" w:color="auto"/>
        <w:right w:val="none" w:sz="0" w:space="0" w:color="auto"/>
      </w:divBdr>
    </w:div>
    <w:div w:id="21199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dc.org/unodc/data-and-analysis/corruption-manuals.html" TargetMode="External"/><Relationship Id="rId18" Type="http://schemas.openxmlformats.org/officeDocument/2006/relationships/hyperlink" Target="https://www.unodc.org/unodc/data-and-analysis/corruption.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nodc.org/unodc/data-and-analysis/corruption-manuals.html" TargetMode="External"/><Relationship Id="rId7" Type="http://schemas.openxmlformats.org/officeDocument/2006/relationships/settings" Target="settings.xml"/><Relationship Id="rId12" Type="http://schemas.openxmlformats.org/officeDocument/2006/relationships/hyperlink" Target="https://undocs.org/en/A/RES/3021(XXVII)" TargetMode="External"/><Relationship Id="rId17" Type="http://schemas.openxmlformats.org/officeDocument/2006/relationships/hyperlink" Target="https://dataunodc.un.org/sdg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nodc.org" TargetMode="External"/><Relationship Id="rId20" Type="http://schemas.openxmlformats.org/officeDocument/2006/relationships/hyperlink" Target="https://www.unodc.org/unodc/en/data-and-analysis/statistics/icc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dc.org/unodc/en/data-and-analysis/statistics/iccs.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dg16hub.org/topic/sdg-16-survey-initiative-implementation-manual" TargetMode="External"/><Relationship Id="rId23" Type="http://schemas.openxmlformats.org/officeDocument/2006/relationships/hyperlink" Target="https://www.sdg16hub.org/topic/sdg-16-survey-initiative-implementation-manua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ataunodc.un.org/content/micro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g16hub.org/topic/sdg-16-survey-initiative-questionnaire" TargetMode="External"/><Relationship Id="rId22" Type="http://schemas.openxmlformats.org/officeDocument/2006/relationships/hyperlink" Target="https://www.sdg16hub.org/topic/sdg-16-survey-initiative-questionnaire"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148BC9603040E2AB79D98BD5DC727D"/>
        <w:category>
          <w:name w:val="General"/>
          <w:gallery w:val="placeholder"/>
        </w:category>
        <w:types>
          <w:type w:val="bbPlcHdr"/>
        </w:types>
        <w:behaviors>
          <w:behavior w:val="content"/>
        </w:behaviors>
        <w:guid w:val="{1FFAA861-CA91-413D-BB72-347CEC4DD94C}"/>
      </w:docPartPr>
      <w:docPartBody>
        <w:p w:rsidR="003E1B2B" w:rsidRDefault="003E1B2B">
          <w:pPr>
            <w:pStyle w:val="08148BC9603040E2AB79D98BD5DC727D"/>
          </w:pPr>
          <w:r w:rsidRPr="007B16D3">
            <w:rPr>
              <w:rStyle w:val="Textodelmarcadordeposici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BF"/>
    <w:rsid w:val="0001692F"/>
    <w:rsid w:val="003E1B2B"/>
    <w:rsid w:val="00573645"/>
    <w:rsid w:val="0059020B"/>
    <w:rsid w:val="00592632"/>
    <w:rsid w:val="006A42EC"/>
    <w:rsid w:val="00B903BF"/>
    <w:rsid w:val="00E124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08148BC9603040E2AB79D98BD5DC727D">
    <w:name w:val="08148BC9603040E2AB79D98BD5DC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38fcefc-45f0-4567-a27d-d808176318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25274495DEBB43B04BB9723265C9C0" ma:contentTypeVersion="12" ma:contentTypeDescription="Create a new document." ma:contentTypeScope="" ma:versionID="c3c42e10cdaccbce338c0b297be6e22d">
  <xsd:schema xmlns:xsd="http://www.w3.org/2001/XMLSchema" xmlns:xs="http://www.w3.org/2001/XMLSchema" xmlns:p="http://schemas.microsoft.com/office/2006/metadata/properties" xmlns:ns3="538fcefc-45f0-4567-a27d-d808176318a1" targetNamespace="http://schemas.microsoft.com/office/2006/metadata/properties" ma:root="true" ma:fieldsID="bd8d8bcd584667a2951492e328082d2f" ns3:_="">
    <xsd:import namespace="538fcefc-45f0-4567-a27d-d808176318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fcefc-45f0-4567-a27d-d808176318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538fcefc-45f0-4567-a27d-d808176318a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991012F-BBD5-4D7E-A781-08966F4EF467}">
  <ds:schemaRefs>
    <ds:schemaRef ds:uri="http://schemas.openxmlformats.org/officeDocument/2006/bibliography"/>
  </ds:schemaRefs>
</ds:datastoreItem>
</file>

<file path=customXml/itemProps4.xml><?xml version="1.0" encoding="utf-8"?>
<ds:datastoreItem xmlns:ds="http://schemas.openxmlformats.org/officeDocument/2006/customXml" ds:itemID="{47F22798-5DFE-49C9-87A9-AF983E2D0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fcefc-45f0-4567-a27d-d80817631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3129</Words>
  <Characters>17214</Characters>
  <Application>Microsoft Office Word</Application>
  <DocSecurity>0</DocSecurity>
  <Lines>143</Lines>
  <Paragraphs>40</Paragraphs>
  <ScaleCrop>false</ScaleCrop>
  <Company>United Nations</Company>
  <LinksUpToDate>false</LinksUpToDate>
  <CharactersWithSpaces>20303</CharactersWithSpaces>
  <SharedDoc>false</SharedDoc>
  <HLinks>
    <vt:vector size="78" baseType="variant">
      <vt:variant>
        <vt:i4>4849731</vt:i4>
      </vt:variant>
      <vt:variant>
        <vt:i4>36</vt:i4>
      </vt:variant>
      <vt:variant>
        <vt:i4>0</vt:i4>
      </vt:variant>
      <vt:variant>
        <vt:i4>5</vt:i4>
      </vt:variant>
      <vt:variant>
        <vt:lpwstr>https://www.sdg16hub.org/topic/sdg-16-survey-initiative-implementation-manual</vt:lpwstr>
      </vt:variant>
      <vt:variant>
        <vt:lpwstr/>
      </vt:variant>
      <vt:variant>
        <vt:i4>6160388</vt:i4>
      </vt:variant>
      <vt:variant>
        <vt:i4>33</vt:i4>
      </vt:variant>
      <vt:variant>
        <vt:i4>0</vt:i4>
      </vt:variant>
      <vt:variant>
        <vt:i4>5</vt:i4>
      </vt:variant>
      <vt:variant>
        <vt:lpwstr>https://www.sdg16hub.org/topic/sdg-16-survey-initiative-questionnaire</vt:lpwstr>
      </vt:variant>
      <vt:variant>
        <vt:lpwstr/>
      </vt:variant>
      <vt:variant>
        <vt:i4>5242948</vt:i4>
      </vt:variant>
      <vt:variant>
        <vt:i4>30</vt:i4>
      </vt:variant>
      <vt:variant>
        <vt:i4>0</vt:i4>
      </vt:variant>
      <vt:variant>
        <vt:i4>5</vt:i4>
      </vt:variant>
      <vt:variant>
        <vt:lpwstr>https://www.unodc.org/unodc/data-and-analysis/corruption-manuals.html</vt:lpwstr>
      </vt:variant>
      <vt:variant>
        <vt:lpwstr/>
      </vt:variant>
      <vt:variant>
        <vt:i4>5242881</vt:i4>
      </vt:variant>
      <vt:variant>
        <vt:i4>27</vt:i4>
      </vt:variant>
      <vt:variant>
        <vt:i4>0</vt:i4>
      </vt:variant>
      <vt:variant>
        <vt:i4>5</vt:i4>
      </vt:variant>
      <vt:variant>
        <vt:lpwstr>https://www.unodc.org/unodc/en/data-and-analysis/statistics/iccs.html</vt:lpwstr>
      </vt:variant>
      <vt:variant>
        <vt:lpwstr/>
      </vt:variant>
      <vt:variant>
        <vt:i4>3014782</vt:i4>
      </vt:variant>
      <vt:variant>
        <vt:i4>24</vt:i4>
      </vt:variant>
      <vt:variant>
        <vt:i4>0</vt:i4>
      </vt:variant>
      <vt:variant>
        <vt:i4>5</vt:i4>
      </vt:variant>
      <vt:variant>
        <vt:lpwstr>https://dataunodc.un.org/content/microdata</vt:lpwstr>
      </vt:variant>
      <vt:variant>
        <vt:lpwstr/>
      </vt:variant>
      <vt:variant>
        <vt:i4>4259857</vt:i4>
      </vt:variant>
      <vt:variant>
        <vt:i4>21</vt:i4>
      </vt:variant>
      <vt:variant>
        <vt:i4>0</vt:i4>
      </vt:variant>
      <vt:variant>
        <vt:i4>5</vt:i4>
      </vt:variant>
      <vt:variant>
        <vt:lpwstr>https://www.unodc.org/unodc/data-and-analysis/corruption.html</vt:lpwstr>
      </vt:variant>
      <vt:variant>
        <vt:lpwstr/>
      </vt:variant>
      <vt:variant>
        <vt:i4>4653131</vt:i4>
      </vt:variant>
      <vt:variant>
        <vt:i4>18</vt:i4>
      </vt:variant>
      <vt:variant>
        <vt:i4>0</vt:i4>
      </vt:variant>
      <vt:variant>
        <vt:i4>5</vt:i4>
      </vt:variant>
      <vt:variant>
        <vt:lpwstr>https://dataunodc.un.org/sdgs</vt:lpwstr>
      </vt:variant>
      <vt:variant>
        <vt:lpwstr/>
      </vt:variant>
      <vt:variant>
        <vt:i4>5898246</vt:i4>
      </vt:variant>
      <vt:variant>
        <vt:i4>15</vt:i4>
      </vt:variant>
      <vt:variant>
        <vt:i4>0</vt:i4>
      </vt:variant>
      <vt:variant>
        <vt:i4>5</vt:i4>
      </vt:variant>
      <vt:variant>
        <vt:lpwstr>http://www.unodc.org/</vt:lpwstr>
      </vt:variant>
      <vt:variant>
        <vt:lpwstr/>
      </vt:variant>
      <vt:variant>
        <vt:i4>4849731</vt:i4>
      </vt:variant>
      <vt:variant>
        <vt:i4>12</vt:i4>
      </vt:variant>
      <vt:variant>
        <vt:i4>0</vt:i4>
      </vt:variant>
      <vt:variant>
        <vt:i4>5</vt:i4>
      </vt:variant>
      <vt:variant>
        <vt:lpwstr>https://www.sdg16hub.org/topic/sdg-16-survey-initiative-implementation-manual</vt:lpwstr>
      </vt:variant>
      <vt:variant>
        <vt:lpwstr/>
      </vt:variant>
      <vt:variant>
        <vt:i4>6160388</vt:i4>
      </vt:variant>
      <vt:variant>
        <vt:i4>9</vt:i4>
      </vt:variant>
      <vt:variant>
        <vt:i4>0</vt:i4>
      </vt:variant>
      <vt:variant>
        <vt:i4>5</vt:i4>
      </vt:variant>
      <vt:variant>
        <vt:lpwstr>https://www.sdg16hub.org/topic/sdg-16-survey-initiative-questionnaire</vt:lpwstr>
      </vt:variant>
      <vt:variant>
        <vt:lpwstr/>
      </vt:variant>
      <vt:variant>
        <vt:i4>5242948</vt:i4>
      </vt:variant>
      <vt:variant>
        <vt:i4>6</vt:i4>
      </vt:variant>
      <vt:variant>
        <vt:i4>0</vt:i4>
      </vt:variant>
      <vt:variant>
        <vt:i4>5</vt:i4>
      </vt:variant>
      <vt:variant>
        <vt:lpwstr>https://www.unodc.org/unodc/data-and-analysis/corruption-manuals.html</vt:lpwstr>
      </vt:variant>
      <vt:variant>
        <vt:lpwstr/>
      </vt:variant>
      <vt:variant>
        <vt:i4>2228343</vt:i4>
      </vt:variant>
      <vt:variant>
        <vt:i4>3</vt:i4>
      </vt:variant>
      <vt:variant>
        <vt:i4>0</vt:i4>
      </vt:variant>
      <vt:variant>
        <vt:i4>5</vt:i4>
      </vt:variant>
      <vt:variant>
        <vt:lpwstr>https://undocs.org/en/A/RES/3021(XXVII)</vt:lpwstr>
      </vt:variant>
      <vt:variant>
        <vt:lpwstr/>
      </vt:variant>
      <vt:variant>
        <vt:i4>5242881</vt:i4>
      </vt:variant>
      <vt:variant>
        <vt:i4>0</vt:i4>
      </vt:variant>
      <vt:variant>
        <vt:i4>0</vt:i4>
      </vt:variant>
      <vt:variant>
        <vt:i4>5</vt:i4>
      </vt:variant>
      <vt:variant>
        <vt:lpwstr>https://www.unodc.org/unodc/en/data-and-analysis/statistics/iccs.html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Justo Rojas Lopez</cp:lastModifiedBy>
  <cp:revision>2</cp:revision>
  <cp:lastPrinted>2016-07-16T14:25:00Z</cp:lastPrinted>
  <dcterms:created xsi:type="dcterms:W3CDTF">2025-05-27T18:43:00Z</dcterms:created>
  <dcterms:modified xsi:type="dcterms:W3CDTF">2025-05-27T18:43:00Z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0x010100B525274495DEBB43B04BB9723265C9C0</vt:lpwstr>
  </property>
  <property fmtid="{D5CDD505-2E9C-101B-9397-08002B2CF9AE}" pid="3" name="MediaServiceImageTags">
    <vt:lpwstr/>
  </property>
</Properties>
</file>