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F648D" w14:textId="77777777" w:rsidR="002B31E5" w:rsidRPr="004A2E21" w:rsidRDefault="002B31E5" w:rsidP="002B31E5">
      <w:pPr>
        <w:spacing w:after="0"/>
        <w:jc w:val="center"/>
        <w:rPr>
          <w:rFonts w:cs="Calibri"/>
          <w:lang w:val="es-MX"/>
        </w:rPr>
      </w:pPr>
      <w:bookmarkStart w:id="0" w:name="_Hlk196759661"/>
      <w:r w:rsidRPr="004A2E21">
        <w:rPr>
          <w:rFonts w:eastAsia="Times New Roman" w:cs="Calibri"/>
          <w:color w:val="1C75BC"/>
          <w:sz w:val="36"/>
          <w:szCs w:val="36"/>
          <w:lang w:val="es-MX" w:eastAsia="en-GB"/>
        </w:rPr>
        <w:t>Metadatos de Indicador ODS</w:t>
      </w:r>
    </w:p>
    <w:bookmarkEnd w:id="0"/>
    <w:p w14:paraId="1D361DD5" w14:textId="5C9819AB" w:rsidR="006C4BFD" w:rsidRPr="00B370F4" w:rsidRDefault="002C2510" w:rsidP="006C4BFD">
      <w:pPr>
        <w:spacing w:after="0"/>
        <w:jc w:val="center"/>
        <w:rPr>
          <w:rFonts w:eastAsia="Times New Roman" w:cs="Calibri"/>
          <w:b/>
          <w:bCs/>
          <w:color w:val="4A4A4A"/>
          <w:sz w:val="21"/>
          <w:szCs w:val="21"/>
          <w:lang w:val="es-MX" w:eastAsia="en-GB"/>
        </w:rPr>
      </w:pPr>
      <w:r w:rsidRPr="00B370F4">
        <w:rPr>
          <w:rFonts w:eastAsia="Times New Roman" w:cs="Calibri"/>
          <w:b/>
          <w:bCs/>
          <w:color w:val="4A4A4A"/>
          <w:sz w:val="21"/>
          <w:szCs w:val="21"/>
          <w:lang w:val="es-MX" w:eastAsia="en-GB"/>
        </w:rPr>
        <w:t>(</w:t>
      </w:r>
      <w:bookmarkStart w:id="1" w:name="_Hlk196759673"/>
      <w:r w:rsidR="00B370F4" w:rsidRPr="004A2E21">
        <w:rPr>
          <w:rFonts w:eastAsia="Times New Roman" w:cs="Calibri"/>
          <w:b/>
          <w:bCs/>
          <w:color w:val="4A4A4A"/>
          <w:sz w:val="21"/>
          <w:szCs w:val="21"/>
          <w:lang w:val="es-MX" w:eastAsia="en-GB"/>
        </w:rPr>
        <w:t>Plantilla armonizada de metadatos – formato versión 1.1</w:t>
      </w:r>
      <w:bookmarkEnd w:id="1"/>
      <w:r w:rsidRPr="00B370F4">
        <w:rPr>
          <w:rFonts w:eastAsia="Times New Roman" w:cs="Calibri"/>
          <w:b/>
          <w:bCs/>
          <w:color w:val="4A4A4A"/>
          <w:sz w:val="21"/>
          <w:szCs w:val="21"/>
          <w:lang w:val="es-MX" w:eastAsia="en-GB"/>
        </w:rPr>
        <w:t>)</w:t>
      </w:r>
    </w:p>
    <w:p w14:paraId="402340A8" w14:textId="77777777" w:rsidR="006C4BFD" w:rsidRPr="00B370F4" w:rsidRDefault="006C4BFD" w:rsidP="006C4BFD">
      <w:pPr>
        <w:spacing w:after="0"/>
        <w:rPr>
          <w:rFonts w:eastAsia="Times New Roman" w:cs="Times New Roman"/>
          <w:b/>
          <w:bCs/>
          <w:color w:val="4A4A4A"/>
          <w:sz w:val="21"/>
          <w:szCs w:val="21"/>
          <w:lang w:val="es-MX" w:eastAsia="en-GB"/>
        </w:rPr>
      </w:pPr>
    </w:p>
    <w:p w14:paraId="6AEAC6DA" w14:textId="16855140" w:rsidR="00B31E2C" w:rsidRPr="00B370F4" w:rsidRDefault="002C2510" w:rsidP="00EA05D3">
      <w:pPr>
        <w:pStyle w:val="MIndHeader2"/>
        <w:rPr>
          <w:lang w:val="es-MX"/>
        </w:rPr>
      </w:pPr>
      <w:r w:rsidRPr="00B370F4">
        <w:rPr>
          <w:lang w:val="es-MX"/>
        </w:rPr>
        <w:t>0</w:t>
      </w:r>
      <w:r w:rsidR="00B31E2C" w:rsidRPr="00B370F4">
        <w:rPr>
          <w:lang w:val="es-MX"/>
        </w:rPr>
        <w:t xml:space="preserve">. </w:t>
      </w:r>
      <w:bookmarkStart w:id="2" w:name="_Hlk196759680"/>
      <w:bookmarkStart w:id="3" w:name="_Hlk196761188"/>
      <w:r w:rsidR="00B370F4" w:rsidRPr="004A2E21">
        <w:rPr>
          <w:lang w:val="es-MX"/>
        </w:rPr>
        <w:t>Información de Indicador</w:t>
      </w:r>
      <w:bookmarkEnd w:id="2"/>
      <w:bookmarkEnd w:id="3"/>
      <w:r w:rsidR="00B370F4" w:rsidRPr="004A2E21">
        <w:rPr>
          <w:lang w:val="es-MX"/>
        </w:rPr>
        <w:t xml:space="preserve"> </w:t>
      </w:r>
      <w:r w:rsidRPr="00B370F4">
        <w:rPr>
          <w:color w:val="B4B4B4"/>
          <w:sz w:val="20"/>
          <w:lang w:val="es-MX"/>
        </w:rPr>
        <w:t>(SDG_INDICATOR_INFO)</w:t>
      </w:r>
    </w:p>
    <w:p w14:paraId="043ED752" w14:textId="0C123F16" w:rsidR="00D24330" w:rsidRPr="00A96255" w:rsidRDefault="00D24330" w:rsidP="00EA05D3">
      <w:pPr>
        <w:pStyle w:val="MIndHeader"/>
      </w:pPr>
      <w:r w:rsidRPr="00A96255">
        <w:t xml:space="preserve">0.a. </w:t>
      </w:r>
      <w:bookmarkStart w:id="4" w:name="_Hlk196759687"/>
      <w:proofErr w:type="spellStart"/>
      <w:r w:rsidR="00B370F4" w:rsidRPr="007413CC">
        <w:rPr>
          <w:lang w:val="en-US"/>
        </w:rPr>
        <w:t>Objetivo</w:t>
      </w:r>
      <w:bookmarkEnd w:id="4"/>
      <w:proofErr w:type="spellEnd"/>
      <w:r w:rsidR="00B370F4">
        <w:rPr>
          <w:color w:val="B4B4B4"/>
          <w:sz w:val="20"/>
        </w:rPr>
        <w:t xml:space="preserve"> </w:t>
      </w:r>
      <w:r>
        <w:rPr>
          <w:color w:val="B4B4B4"/>
          <w:sz w:val="20"/>
        </w:rPr>
        <w:t>(SDG_GOAL)</w:t>
      </w:r>
    </w:p>
    <w:p w14:paraId="7973975C" w14:textId="676BF417" w:rsidR="005D096F" w:rsidRPr="00B4069C" w:rsidRDefault="007413CC" w:rsidP="002F5F0C">
      <w:pPr>
        <w:pStyle w:val="MGTHeader"/>
        <w:rPr>
          <w:lang w:val="es-MX"/>
        </w:rPr>
      </w:pPr>
      <w:r w:rsidRPr="00B4069C">
        <w:rPr>
          <w:lang w:val="es-MX"/>
        </w:rPr>
        <w:t>Objetivo</w:t>
      </w:r>
      <w:r w:rsidR="005D096F" w:rsidRPr="00B4069C">
        <w:rPr>
          <w:lang w:val="es-MX"/>
        </w:rPr>
        <w:t xml:space="preserve"> 16: </w:t>
      </w:r>
      <w:r w:rsidR="00B4069C" w:rsidRPr="00B4069C">
        <w:rPr>
          <w:lang w:val="es-MX"/>
        </w:rPr>
        <w:t>Promover sociedades pacíficas e inclusivas para el desarrollo sostenible, proporcionar acceso a la justicia para todos y crear instituciones eficaces, responsables e inclusivas a todos los niveles.</w:t>
      </w:r>
    </w:p>
    <w:p w14:paraId="084142D2" w14:textId="262D8559" w:rsidR="00D24330" w:rsidRPr="00C23DEE" w:rsidRDefault="00D24330" w:rsidP="00D24330">
      <w:pPr>
        <w:pStyle w:val="MIndHeader"/>
        <w:rPr>
          <w:lang w:val="es-MX"/>
        </w:rPr>
      </w:pPr>
      <w:r w:rsidRPr="00C23DEE">
        <w:rPr>
          <w:lang w:val="es-MX"/>
        </w:rPr>
        <w:t xml:space="preserve">0.b. </w:t>
      </w:r>
      <w:bookmarkStart w:id="5" w:name="_Hlk196759694"/>
      <w:r w:rsidR="00B370F4" w:rsidRPr="00C23DEE">
        <w:rPr>
          <w:lang w:val="es-MX"/>
        </w:rPr>
        <w:t>Meta</w:t>
      </w:r>
      <w:bookmarkEnd w:id="5"/>
      <w:r w:rsidRPr="00C23DEE">
        <w:rPr>
          <w:lang w:val="es-MX"/>
        </w:rPr>
        <w:t xml:space="preserve"> </w:t>
      </w:r>
      <w:r w:rsidRPr="00C23DEE">
        <w:rPr>
          <w:color w:val="B4B4B4"/>
          <w:sz w:val="20"/>
          <w:lang w:val="es-MX"/>
        </w:rPr>
        <w:t>(SDG_TARGET)</w:t>
      </w:r>
    </w:p>
    <w:p w14:paraId="478EA322" w14:textId="4C4C2962" w:rsidR="005D096F" w:rsidRPr="00B4069C" w:rsidRDefault="007413CC" w:rsidP="00D24330">
      <w:pPr>
        <w:pStyle w:val="MGTHeader"/>
        <w:rPr>
          <w:lang w:val="es-MX"/>
        </w:rPr>
      </w:pPr>
      <w:r w:rsidRPr="00B4069C">
        <w:rPr>
          <w:lang w:val="es-MX"/>
        </w:rPr>
        <w:t>Meta</w:t>
      </w:r>
      <w:r w:rsidR="005D096F" w:rsidRPr="00B4069C">
        <w:rPr>
          <w:lang w:val="es-MX"/>
        </w:rPr>
        <w:t xml:space="preserve"> 16.4: </w:t>
      </w:r>
      <w:r w:rsidR="00B4069C" w:rsidRPr="00B4069C">
        <w:rPr>
          <w:lang w:val="es-MX"/>
        </w:rPr>
        <w:t>Para 2030, reducir significativamente los flujos financieros ilícitos y el tráfico ilícito de armas, fortalecer la recuperación y el retorno de los activos robados y combatir todas las formas de delincuencia organizada.</w:t>
      </w:r>
    </w:p>
    <w:p w14:paraId="3E67E7E0" w14:textId="7C715FAD" w:rsidR="00D24330" w:rsidRPr="00C23DEE" w:rsidRDefault="00D24330" w:rsidP="00D24330">
      <w:pPr>
        <w:pStyle w:val="MIndHeader"/>
        <w:rPr>
          <w:lang w:val="es-MX"/>
        </w:rPr>
      </w:pPr>
      <w:r w:rsidRPr="00C23DEE">
        <w:rPr>
          <w:lang w:val="es-MX"/>
        </w:rPr>
        <w:t xml:space="preserve">0.c. </w:t>
      </w:r>
      <w:r w:rsidR="00B370F4" w:rsidRPr="00C23DEE">
        <w:rPr>
          <w:lang w:val="es-MX"/>
        </w:rPr>
        <w:t>Indicador</w:t>
      </w:r>
      <w:r w:rsidRPr="00C23DEE">
        <w:rPr>
          <w:lang w:val="es-MX"/>
        </w:rPr>
        <w:t xml:space="preserve"> </w:t>
      </w:r>
      <w:r w:rsidRPr="00C23DEE">
        <w:rPr>
          <w:color w:val="B4B4B4"/>
          <w:sz w:val="20"/>
          <w:lang w:val="es-MX"/>
        </w:rPr>
        <w:t>(SDG_INDICATOR)</w:t>
      </w:r>
    </w:p>
    <w:p w14:paraId="0CAE8122" w14:textId="1B5B596B" w:rsidR="005D096F" w:rsidRPr="003A11C9" w:rsidRDefault="005D096F" w:rsidP="00D24330">
      <w:pPr>
        <w:pStyle w:val="MGTHeader"/>
        <w:rPr>
          <w:lang w:val="es-MX"/>
        </w:rPr>
      </w:pPr>
      <w:r w:rsidRPr="003A11C9">
        <w:rPr>
          <w:lang w:val="es-MX"/>
        </w:rPr>
        <w:t>Indica</w:t>
      </w:r>
      <w:r w:rsidR="007413CC" w:rsidRPr="003A11C9">
        <w:rPr>
          <w:lang w:val="es-MX"/>
        </w:rPr>
        <w:t>d</w:t>
      </w:r>
      <w:r w:rsidRPr="003A11C9">
        <w:rPr>
          <w:lang w:val="es-MX"/>
        </w:rPr>
        <w:t xml:space="preserve">or 16.4.2: </w:t>
      </w:r>
      <w:r w:rsidR="003A11C9" w:rsidRPr="003A11C9">
        <w:rPr>
          <w:lang w:val="es-MX"/>
        </w:rPr>
        <w:t>Proporción de armas incautadas, encontradas o entregadas cuyo origen o contexto ilícito ha sido rastreado o establecido por una autoridad competente de conformidad con los instrumentos internacionales.</w:t>
      </w:r>
    </w:p>
    <w:p w14:paraId="37E5E4F6" w14:textId="7607FDD9" w:rsidR="00D24330" w:rsidRPr="00B370F4" w:rsidRDefault="00D24330" w:rsidP="00D24330">
      <w:pPr>
        <w:pStyle w:val="MIndHeader"/>
        <w:rPr>
          <w:lang w:val="es-MX"/>
        </w:rPr>
      </w:pPr>
      <w:r w:rsidRPr="00B370F4">
        <w:rPr>
          <w:lang w:val="es-MX"/>
        </w:rPr>
        <w:t xml:space="preserve">0.d. Serie </w:t>
      </w:r>
      <w:r w:rsidRPr="00B370F4">
        <w:rPr>
          <w:color w:val="B4B4B4"/>
          <w:sz w:val="20"/>
          <w:lang w:val="es-MX"/>
        </w:rPr>
        <w:t>(SDG_SERIES_DESCR)</w:t>
      </w:r>
    </w:p>
    <w:p w14:paraId="771888BA" w14:textId="77FE9A86" w:rsidR="00D24330" w:rsidRPr="00C23DEE" w:rsidRDefault="006E55BD" w:rsidP="00D24330">
      <w:pPr>
        <w:pStyle w:val="MGTHeader"/>
        <w:rPr>
          <w:lang w:val="es-MX"/>
        </w:rPr>
      </w:pPr>
      <w:r w:rsidRPr="003A11C9">
        <w:rPr>
          <w:lang w:val="es-MX"/>
        </w:rPr>
        <w:t xml:space="preserve">VC_ARM_SZTRACE - </w:t>
      </w:r>
      <w:r w:rsidR="003A11C9" w:rsidRPr="003A11C9">
        <w:rPr>
          <w:lang w:val="es-MX"/>
        </w:rPr>
        <w:t xml:space="preserve">Proporción de armas incautadas, encontradas o entregadas cuyo origen o contexto ilícito ha sido rastreado o establecido por una autoridad competente de conformidad con los instrumentos internacionales. </w:t>
      </w:r>
      <w:r w:rsidRPr="00C23DEE">
        <w:rPr>
          <w:lang w:val="es-MX"/>
        </w:rPr>
        <w:t>[16.4.2]</w:t>
      </w:r>
    </w:p>
    <w:p w14:paraId="157DACE7" w14:textId="6FB94555" w:rsidR="00D24330" w:rsidRPr="00B370F4" w:rsidRDefault="00D24330" w:rsidP="00D24330">
      <w:pPr>
        <w:pStyle w:val="MIndHeader"/>
        <w:rPr>
          <w:lang w:val="es-MX"/>
        </w:rPr>
      </w:pPr>
      <w:r w:rsidRPr="00B370F4">
        <w:rPr>
          <w:lang w:val="es-MX"/>
        </w:rPr>
        <w:t xml:space="preserve">0.e. </w:t>
      </w:r>
      <w:bookmarkStart w:id="6" w:name="_Hlk196759711"/>
      <w:bookmarkStart w:id="7" w:name="_Hlk196761213"/>
      <w:r w:rsidR="00B370F4" w:rsidRPr="004A2E21">
        <w:rPr>
          <w:lang w:val="es-MX"/>
        </w:rPr>
        <w:t>Actualización de metadatos</w:t>
      </w:r>
      <w:bookmarkEnd w:id="6"/>
      <w:bookmarkEnd w:id="7"/>
      <w:r w:rsidR="00B370F4" w:rsidRPr="004A2E21">
        <w:rPr>
          <w:lang w:val="es-MX"/>
        </w:rPr>
        <w:t xml:space="preserve"> </w:t>
      </w:r>
      <w:r w:rsidRPr="00B370F4">
        <w:rPr>
          <w:color w:val="B4B4B4"/>
          <w:sz w:val="20"/>
          <w:lang w:val="es-MX"/>
        </w:rPr>
        <w:t>(META_LAST_UPDATE)</w:t>
      </w:r>
    </w:p>
    <w:sdt>
      <w:sdtPr>
        <w:rPr>
          <w:lang w:val="es-MX"/>
        </w:rPr>
        <w:id w:val="1788772678"/>
        <w:placeholder>
          <w:docPart w:val="DefaultPlaceholder_-1854013437"/>
        </w:placeholder>
        <w:date w:fullDate="2024-09-27T00:00:00Z">
          <w:dateFormat w:val="yyyy-MM-dd"/>
          <w:lid w:val="en-US"/>
          <w:storeMappedDataAs w:val="dateTime"/>
          <w:calendar w:val="gregorian"/>
        </w:date>
      </w:sdtPr>
      <w:sdtEndPr/>
      <w:sdtContent>
        <w:p w14:paraId="59F206DE" w14:textId="1BB38652" w:rsidR="005D096F" w:rsidRPr="007413CC" w:rsidRDefault="00D25FD6" w:rsidP="00D24330">
          <w:pPr>
            <w:pStyle w:val="MGTHeader"/>
            <w:rPr>
              <w:lang w:val="es-MX"/>
            </w:rPr>
          </w:pPr>
          <w:r w:rsidRPr="007413CC">
            <w:rPr>
              <w:lang w:val="es-MX"/>
            </w:rPr>
            <w:t>2024-09-27</w:t>
          </w:r>
        </w:p>
      </w:sdtContent>
    </w:sdt>
    <w:p w14:paraId="415C9FF1" w14:textId="087AFD93" w:rsidR="00D24330" w:rsidRPr="00B370F4" w:rsidRDefault="00D24330" w:rsidP="00D24330">
      <w:pPr>
        <w:pStyle w:val="MIndHeader"/>
        <w:rPr>
          <w:lang w:val="es-MX"/>
        </w:rPr>
      </w:pPr>
      <w:r w:rsidRPr="00B370F4">
        <w:rPr>
          <w:lang w:val="es-MX"/>
        </w:rPr>
        <w:t xml:space="preserve">0.f. </w:t>
      </w:r>
      <w:bookmarkStart w:id="8" w:name="_Hlk196759719"/>
      <w:r w:rsidR="00B370F4" w:rsidRPr="004A2E21">
        <w:rPr>
          <w:lang w:val="es-MX"/>
        </w:rPr>
        <w:t>Indicadores relacionados</w:t>
      </w:r>
      <w:bookmarkEnd w:id="8"/>
      <w:r w:rsidR="00B370F4" w:rsidRPr="004A2E21">
        <w:rPr>
          <w:lang w:val="es-MX"/>
        </w:rPr>
        <w:t xml:space="preserve"> </w:t>
      </w:r>
      <w:r w:rsidRPr="00B370F4">
        <w:rPr>
          <w:color w:val="B4B4B4"/>
          <w:sz w:val="20"/>
          <w:lang w:val="es-MX"/>
        </w:rPr>
        <w:t>(SDG_RELATED_INDICATORS)</w:t>
      </w:r>
    </w:p>
    <w:p w14:paraId="21524279" w14:textId="65A2F8C6" w:rsidR="00D24330" w:rsidRPr="007413CC" w:rsidRDefault="007413CC" w:rsidP="00D24330">
      <w:pPr>
        <w:pStyle w:val="MGTHeader"/>
        <w:rPr>
          <w:lang w:val="es-MX"/>
        </w:rPr>
      </w:pPr>
      <w:r>
        <w:rPr>
          <w:lang w:val="es-MX"/>
        </w:rPr>
        <w:t xml:space="preserve">No aplica. </w:t>
      </w:r>
    </w:p>
    <w:p w14:paraId="077BC49E" w14:textId="5BC3BFFF" w:rsidR="00D24330" w:rsidRPr="00B370F4" w:rsidRDefault="00D24330" w:rsidP="00D24330">
      <w:pPr>
        <w:pStyle w:val="MIndHeader"/>
        <w:rPr>
          <w:lang w:val="es-MX"/>
        </w:rPr>
      </w:pPr>
      <w:r w:rsidRPr="00B370F4">
        <w:rPr>
          <w:lang w:val="es-MX"/>
        </w:rPr>
        <w:t xml:space="preserve">0.g. </w:t>
      </w:r>
      <w:bookmarkStart w:id="9" w:name="_Hlk196759729"/>
      <w:r w:rsidR="00B370F4">
        <w:rPr>
          <w:lang w:val="es-MX"/>
        </w:rPr>
        <w:t>Organización (</w:t>
      </w:r>
      <w:r w:rsidR="00B370F4" w:rsidRPr="004A2E21">
        <w:rPr>
          <w:lang w:val="es-MX"/>
        </w:rPr>
        <w:t>es</w:t>
      </w:r>
      <w:r w:rsidR="00B370F4">
        <w:rPr>
          <w:lang w:val="es-MX"/>
        </w:rPr>
        <w:t>)</w:t>
      </w:r>
      <w:r w:rsidR="00B370F4" w:rsidRPr="004A2E21">
        <w:rPr>
          <w:lang w:val="es-MX"/>
        </w:rPr>
        <w:t xml:space="preserve"> Internacional</w:t>
      </w:r>
      <w:r w:rsidR="00B370F4">
        <w:rPr>
          <w:lang w:val="es-MX"/>
        </w:rPr>
        <w:t xml:space="preserve"> (</w:t>
      </w:r>
      <w:r w:rsidR="00B370F4" w:rsidRPr="004A2E21">
        <w:rPr>
          <w:lang w:val="es-MX"/>
        </w:rPr>
        <w:t>es</w:t>
      </w:r>
      <w:r w:rsidR="00B370F4">
        <w:rPr>
          <w:lang w:val="es-MX"/>
        </w:rPr>
        <w:t>)</w:t>
      </w:r>
      <w:r w:rsidR="00B370F4" w:rsidRPr="004A2E21">
        <w:rPr>
          <w:lang w:val="es-MX"/>
        </w:rPr>
        <w:t xml:space="preserve"> responsabl</w:t>
      </w:r>
      <w:r w:rsidR="00B370F4">
        <w:rPr>
          <w:lang w:val="es-MX"/>
        </w:rPr>
        <w:t>e (es) del monitoreo mundial</w:t>
      </w:r>
      <w:bookmarkEnd w:id="9"/>
      <w:r w:rsidR="00B370F4" w:rsidRPr="004A2E21">
        <w:rPr>
          <w:lang w:val="es-MX"/>
        </w:rPr>
        <w:t xml:space="preserve"> </w:t>
      </w:r>
      <w:r w:rsidRPr="00B370F4">
        <w:rPr>
          <w:color w:val="B4B4B4"/>
          <w:sz w:val="20"/>
          <w:lang w:val="es-MX"/>
        </w:rPr>
        <w:t>(SDG_CUSTODIAN_AGENCIES)</w:t>
      </w:r>
    </w:p>
    <w:p w14:paraId="05193B9B" w14:textId="20AF79B5" w:rsidR="005D096F" w:rsidRPr="00B370F4" w:rsidRDefault="00B370F4" w:rsidP="00D24330">
      <w:pPr>
        <w:pStyle w:val="MGTHeader"/>
        <w:rPr>
          <w:color w:val="4A4A4A"/>
          <w:lang w:val="es-MX"/>
        </w:rPr>
      </w:pPr>
      <w:bookmarkStart w:id="10" w:name="_Hlk196761566"/>
      <w:r w:rsidRPr="004A2E21">
        <w:rPr>
          <w:lang w:val="es-MX"/>
        </w:rPr>
        <w:t>Oficina de Naciones Unidas contra la Droga y el Delito</w:t>
      </w:r>
      <w:bookmarkEnd w:id="10"/>
      <w:r>
        <w:rPr>
          <w:lang w:val="es-MX"/>
        </w:rPr>
        <w:t xml:space="preserve"> </w:t>
      </w:r>
      <w:r w:rsidR="000A2A31" w:rsidRPr="00B370F4">
        <w:rPr>
          <w:lang w:val="es-MX"/>
        </w:rPr>
        <w:t xml:space="preserve">(UNODC) </w:t>
      </w:r>
      <w:r w:rsidR="00E0383C">
        <w:rPr>
          <w:lang w:val="es-MX"/>
        </w:rPr>
        <w:t>y la Oficina de Asuntos de Desarme de las Naciones Unidas</w:t>
      </w:r>
      <w:r w:rsidR="000A2A31" w:rsidRPr="00B370F4">
        <w:rPr>
          <w:lang w:val="es-MX"/>
        </w:rPr>
        <w:t xml:space="preserve"> (UNODA)</w:t>
      </w:r>
    </w:p>
    <w:p w14:paraId="19F29921" w14:textId="77777777" w:rsidR="008D1D39" w:rsidRPr="00B370F4" w:rsidRDefault="008D1D39" w:rsidP="00573631">
      <w:pPr>
        <w:shd w:val="clear" w:color="auto" w:fill="FFFFFF"/>
        <w:spacing w:after="0"/>
        <w:rPr>
          <w:rFonts w:eastAsia="Times New Roman" w:cs="Times New Roman"/>
          <w:color w:val="4A4A4A"/>
          <w:sz w:val="21"/>
          <w:szCs w:val="21"/>
          <w:lang w:val="es-MX" w:eastAsia="en-GB"/>
        </w:rPr>
      </w:pPr>
    </w:p>
    <w:p w14:paraId="12E0D73A" w14:textId="056E2FED" w:rsidR="00B31E2C" w:rsidRPr="00B370F4" w:rsidRDefault="00B31E2C" w:rsidP="00EA05D3">
      <w:pPr>
        <w:pStyle w:val="MHeader"/>
        <w:rPr>
          <w:lang w:val="es-MX"/>
        </w:rPr>
      </w:pPr>
      <w:bookmarkStart w:id="11" w:name="_Toc37932744"/>
      <w:bookmarkStart w:id="12" w:name="_Toc36813072"/>
      <w:bookmarkStart w:id="13" w:name="_Toc36812685"/>
      <w:bookmarkStart w:id="14" w:name="_Toc36812572"/>
      <w:bookmarkStart w:id="15" w:name="_Toc36655609"/>
      <w:r w:rsidRPr="00B370F4">
        <w:rPr>
          <w:lang w:val="es-MX"/>
        </w:rPr>
        <w:t xml:space="preserve">1. </w:t>
      </w:r>
      <w:bookmarkStart w:id="16" w:name="_Hlk196759738"/>
      <w:bookmarkEnd w:id="11"/>
      <w:bookmarkEnd w:id="12"/>
      <w:bookmarkEnd w:id="13"/>
      <w:bookmarkEnd w:id="14"/>
      <w:bookmarkEnd w:id="15"/>
      <w:r w:rsidR="00B370F4" w:rsidRPr="004A2E21">
        <w:rPr>
          <w:lang w:val="es-MX"/>
        </w:rPr>
        <w:t>Proveedor de datos</w:t>
      </w:r>
      <w:bookmarkEnd w:id="16"/>
      <w:r w:rsidR="00B370F4" w:rsidRPr="004A2E21">
        <w:rPr>
          <w:lang w:val="es-MX"/>
        </w:rPr>
        <w:t xml:space="preserve"> </w:t>
      </w:r>
      <w:r w:rsidRPr="00B370F4">
        <w:rPr>
          <w:color w:val="B4B4B4"/>
          <w:sz w:val="20"/>
          <w:lang w:val="es-MX"/>
        </w:rPr>
        <w:t>(CONTACT)</w:t>
      </w:r>
    </w:p>
    <w:p w14:paraId="0BD77982" w14:textId="4A347B10" w:rsidR="00576CFA" w:rsidRPr="00B370F4" w:rsidRDefault="00576CFA" w:rsidP="00F719A8">
      <w:pPr>
        <w:pStyle w:val="MHeader2"/>
        <w:rPr>
          <w:lang w:val="es-MX"/>
        </w:rPr>
      </w:pPr>
      <w:r w:rsidRPr="00B370F4">
        <w:rPr>
          <w:lang w:val="es-MX"/>
        </w:rPr>
        <w:t xml:space="preserve">1.a. </w:t>
      </w:r>
      <w:bookmarkStart w:id="17" w:name="_Hlk196759745"/>
      <w:r w:rsidR="00B370F4" w:rsidRPr="004A2E21">
        <w:rPr>
          <w:lang w:val="es-MX"/>
        </w:rPr>
        <w:t>Organización</w:t>
      </w:r>
      <w:bookmarkEnd w:id="17"/>
      <w:r w:rsidRPr="00B370F4">
        <w:rPr>
          <w:lang w:val="es-MX"/>
        </w:rPr>
        <w:t xml:space="preserve"> </w:t>
      </w:r>
      <w:r w:rsidRPr="00B370F4">
        <w:rPr>
          <w:color w:val="B4B4B4"/>
          <w:sz w:val="20"/>
          <w:lang w:val="es-MX"/>
        </w:rPr>
        <w:t>(CONTACT_ORGANISATION)</w:t>
      </w:r>
    </w:p>
    <w:p w14:paraId="7EB25293" w14:textId="14976347" w:rsidR="000A2A31" w:rsidRPr="00B31070" w:rsidRDefault="009A7162" w:rsidP="000A2A31">
      <w:pPr>
        <w:pStyle w:val="MGTHeader"/>
        <w:rPr>
          <w:color w:val="4A4A4A"/>
          <w:lang w:val="es-MX"/>
        </w:rPr>
      </w:pPr>
      <w:r w:rsidRPr="004A2E21">
        <w:rPr>
          <w:lang w:val="es-MX"/>
        </w:rPr>
        <w:t>Oficina de Naciones Unidas contra la Droga y el Delito</w:t>
      </w:r>
      <w:r>
        <w:rPr>
          <w:lang w:val="es-MX"/>
        </w:rPr>
        <w:t xml:space="preserve"> </w:t>
      </w:r>
      <w:r w:rsidR="000A2A31" w:rsidRPr="00B31070">
        <w:rPr>
          <w:lang w:val="es-MX"/>
        </w:rPr>
        <w:t xml:space="preserve">(UNODC) </w:t>
      </w:r>
      <w:r w:rsidR="00B31070" w:rsidRPr="00B31070">
        <w:rPr>
          <w:lang w:val="es-MX"/>
        </w:rPr>
        <w:t>y la Oficina de Asuntos de De</w:t>
      </w:r>
      <w:r w:rsidR="00B31070">
        <w:rPr>
          <w:lang w:val="es-MX"/>
        </w:rPr>
        <w:t xml:space="preserve">sarme de las Naciones Unidas </w:t>
      </w:r>
      <w:r w:rsidR="000A2A31" w:rsidRPr="00B31070">
        <w:rPr>
          <w:lang w:val="es-MX"/>
        </w:rPr>
        <w:t>(UNODA)</w:t>
      </w:r>
    </w:p>
    <w:p w14:paraId="6E829FD0" w14:textId="2439F30A" w:rsidR="00F719A8" w:rsidRPr="00B31070" w:rsidRDefault="00F719A8" w:rsidP="00576CFA">
      <w:pPr>
        <w:pStyle w:val="MText"/>
        <w:rPr>
          <w:lang w:val="es-MX"/>
        </w:rPr>
      </w:pPr>
    </w:p>
    <w:p w14:paraId="14915AC8" w14:textId="445A93EB" w:rsidR="00B31E2C" w:rsidRPr="00B370F4" w:rsidRDefault="00B31E2C" w:rsidP="008B0AC7">
      <w:pPr>
        <w:pStyle w:val="MHeader"/>
        <w:rPr>
          <w:lang w:val="es-MX"/>
        </w:rPr>
      </w:pPr>
      <w:r w:rsidRPr="00B370F4">
        <w:rPr>
          <w:lang w:val="es-MX"/>
        </w:rPr>
        <w:t xml:space="preserve">2. </w:t>
      </w:r>
      <w:bookmarkStart w:id="18" w:name="_Hlk196759752"/>
      <w:r w:rsidR="00B370F4" w:rsidRPr="0063163D">
        <w:rPr>
          <w:lang w:val="es-MX"/>
        </w:rPr>
        <w:t>Definición, conceptos y clasificaciones</w:t>
      </w:r>
      <w:bookmarkEnd w:id="18"/>
      <w:r w:rsidR="00B370F4" w:rsidRPr="0063163D">
        <w:rPr>
          <w:lang w:val="es-MX"/>
        </w:rPr>
        <w:t xml:space="preserve"> </w:t>
      </w:r>
      <w:r w:rsidRPr="00B370F4">
        <w:rPr>
          <w:color w:val="B4B4B4"/>
          <w:sz w:val="20"/>
          <w:lang w:val="es-MX"/>
        </w:rPr>
        <w:t>(IND_DEF_CON_CLASS)</w:t>
      </w:r>
    </w:p>
    <w:p w14:paraId="2AC373EA" w14:textId="7C222FBB" w:rsidR="008B0AC7" w:rsidRPr="00B370F4" w:rsidRDefault="008B0AC7" w:rsidP="00F719A8">
      <w:pPr>
        <w:pStyle w:val="MHeader2"/>
        <w:rPr>
          <w:lang w:val="es-MX"/>
        </w:rPr>
      </w:pPr>
      <w:r w:rsidRPr="00B370F4">
        <w:rPr>
          <w:lang w:val="es-MX"/>
        </w:rPr>
        <w:t xml:space="preserve">2.a. </w:t>
      </w:r>
      <w:bookmarkStart w:id="19" w:name="_Hlk196759758"/>
      <w:r w:rsidR="00B370F4" w:rsidRPr="0063163D">
        <w:rPr>
          <w:lang w:val="es-MX"/>
        </w:rPr>
        <w:t>Definición y conceptos</w:t>
      </w:r>
      <w:bookmarkEnd w:id="19"/>
      <w:r w:rsidR="00B370F4" w:rsidRPr="0063163D">
        <w:rPr>
          <w:lang w:val="es-MX"/>
        </w:rPr>
        <w:t xml:space="preserve"> </w:t>
      </w:r>
      <w:r w:rsidRPr="00B370F4">
        <w:rPr>
          <w:color w:val="B4B4B4"/>
          <w:sz w:val="20"/>
          <w:lang w:val="es-MX"/>
        </w:rPr>
        <w:t>(STAT_CONC_DEF)</w:t>
      </w:r>
    </w:p>
    <w:p w14:paraId="48E0F0E6" w14:textId="77777777" w:rsidR="00B370F4" w:rsidRPr="00C23DEE" w:rsidRDefault="00B370F4" w:rsidP="00B370F4">
      <w:pPr>
        <w:shd w:val="clear" w:color="auto" w:fill="FFFFFF"/>
        <w:spacing w:after="0"/>
        <w:rPr>
          <w:rFonts w:eastAsia="Times New Roman" w:cs="Times New Roman"/>
          <w:color w:val="4A4A4A"/>
          <w:sz w:val="21"/>
          <w:szCs w:val="21"/>
          <w:lang w:val="es-MX" w:eastAsia="en-GB"/>
        </w:rPr>
      </w:pPr>
      <w:bookmarkStart w:id="20" w:name="_Hlk196760017"/>
      <w:r w:rsidRPr="00C23DEE">
        <w:rPr>
          <w:rFonts w:eastAsia="Times New Roman" w:cs="Times New Roman"/>
          <w:b/>
          <w:bCs/>
          <w:color w:val="4A4A4A"/>
          <w:sz w:val="21"/>
          <w:szCs w:val="21"/>
          <w:lang w:val="es-MX" w:eastAsia="en-GB"/>
        </w:rPr>
        <w:t>Definición:</w:t>
      </w:r>
    </w:p>
    <w:bookmarkEnd w:id="20"/>
    <w:p w14:paraId="407726E2" w14:textId="77777777" w:rsidR="007C76DB" w:rsidRPr="007C76DB" w:rsidRDefault="007C76DB" w:rsidP="007C76DB">
      <w:pPr>
        <w:shd w:val="clear" w:color="auto" w:fill="FFFFFF"/>
        <w:spacing w:after="0"/>
        <w:rPr>
          <w:rFonts w:eastAsia="Times New Roman" w:cs="Times New Roman"/>
          <w:color w:val="4A4A4A"/>
          <w:sz w:val="21"/>
          <w:szCs w:val="21"/>
          <w:lang w:val="es-MX" w:eastAsia="en-GB"/>
        </w:rPr>
      </w:pPr>
      <w:r w:rsidRPr="007C76DB">
        <w:rPr>
          <w:rFonts w:eastAsia="Times New Roman" w:cs="Times New Roman"/>
          <w:color w:val="4A4A4A"/>
          <w:sz w:val="21"/>
          <w:szCs w:val="21"/>
          <w:lang w:val="es-MX" w:eastAsia="en-GB"/>
        </w:rPr>
        <w:t>Proporción de armas incautadas, encontradas o entregadas cuyo origen o contexto ilícito ha sido rastreado o establecido por una autoridad competente de conformidad con los instrumentos internacionales.</w:t>
      </w:r>
    </w:p>
    <w:p w14:paraId="47FC27EF" w14:textId="77777777" w:rsidR="00754FCE" w:rsidRPr="007C76DB" w:rsidRDefault="00754FCE" w:rsidP="00754FCE">
      <w:pPr>
        <w:shd w:val="clear" w:color="auto" w:fill="FFFFFF"/>
        <w:spacing w:after="0"/>
        <w:rPr>
          <w:rFonts w:eastAsia="Times New Roman" w:cs="Times New Roman"/>
          <w:color w:val="000000" w:themeColor="text1"/>
          <w:sz w:val="21"/>
          <w:szCs w:val="21"/>
          <w:lang w:val="es-MX" w:eastAsia="en-GB"/>
        </w:rPr>
      </w:pPr>
    </w:p>
    <w:p w14:paraId="417C6C09" w14:textId="77777777" w:rsidR="00B370F4" w:rsidRPr="00C23DEE" w:rsidRDefault="00B370F4" w:rsidP="00B370F4">
      <w:pPr>
        <w:shd w:val="clear" w:color="auto" w:fill="FFFFFF"/>
        <w:spacing w:after="0"/>
        <w:rPr>
          <w:rFonts w:eastAsia="Times New Roman" w:cs="Times New Roman"/>
          <w:color w:val="4A4A4A"/>
          <w:sz w:val="21"/>
          <w:szCs w:val="21"/>
          <w:lang w:val="es-MX" w:eastAsia="en-GB"/>
        </w:rPr>
      </w:pPr>
      <w:bookmarkStart w:id="21" w:name="_Hlk196760023"/>
      <w:r w:rsidRPr="00C23DEE">
        <w:rPr>
          <w:rFonts w:eastAsia="Times New Roman" w:cs="Times New Roman"/>
          <w:b/>
          <w:bCs/>
          <w:color w:val="4A4A4A"/>
          <w:sz w:val="21"/>
          <w:szCs w:val="21"/>
          <w:lang w:val="es-MX" w:eastAsia="en-GB"/>
        </w:rPr>
        <w:lastRenderedPageBreak/>
        <w:t>Conceptos:</w:t>
      </w:r>
    </w:p>
    <w:bookmarkEnd w:id="21"/>
    <w:p w14:paraId="4E551F0D" w14:textId="269CDE0F" w:rsidR="00BD6D48" w:rsidRPr="00C23DEE" w:rsidRDefault="00BD6D48" w:rsidP="7AA97251">
      <w:pPr>
        <w:pStyle w:val="MText"/>
        <w:rPr>
          <w:lang w:val="es-MX"/>
        </w:rPr>
      </w:pPr>
      <w:r w:rsidRPr="00C23DEE">
        <w:rPr>
          <w:i/>
          <w:iCs/>
          <w:u w:val="single"/>
          <w:lang w:val="es-MX"/>
        </w:rPr>
        <w:t xml:space="preserve">Armas: </w:t>
      </w:r>
      <w:r w:rsidRPr="00C23DEE">
        <w:rPr>
          <w:lang w:val="es-MX"/>
        </w:rPr>
        <w:t xml:space="preserve">las armas se refieren a “armas pequeñas y ligeras”, definidas como cualquier arma letal portátil que expulsa o lanza, está diseñada para expulsar o lanzar, o puede convertirse fácilmente para expulsar o lanzar un disparo, una bala o un proyectil mediante la acción de un explosivo, con exclusión de las armas pequeñas y ligeras antiguas o sus réplicas. Las armas pequeñas y ligeras antiguas y sus réplicas se definirán de conformidad con la legislación nacional y, en ningún caso, incluirán las fabricadas después de 1899. Las armas incluyen todas las armas de fuego, tal y como se definen en el “Protocolo contra la fabricación y el tráfico ilícitos de armas de fuego, sus piezas y componentes y municiones”. </w:t>
      </w:r>
    </w:p>
    <w:p w14:paraId="76859D81" w14:textId="6838E326" w:rsidR="00BD6D48" w:rsidRPr="00BD6D48" w:rsidRDefault="00BD6D48" w:rsidP="00BD6D48">
      <w:pPr>
        <w:pStyle w:val="MText"/>
        <w:rPr>
          <w:lang w:val="es-MX"/>
        </w:rPr>
      </w:pPr>
      <w:r w:rsidRPr="00BD6D48">
        <w:rPr>
          <w:lang w:val="es-MX"/>
        </w:rPr>
        <w:t xml:space="preserve">En particular, las </w:t>
      </w:r>
      <w:r>
        <w:rPr>
          <w:lang w:val="es-MX"/>
        </w:rPr>
        <w:t>“</w:t>
      </w:r>
      <w:r w:rsidRPr="00BD6D48">
        <w:rPr>
          <w:lang w:val="es-MX"/>
        </w:rPr>
        <w:t>armas pequeñas</w:t>
      </w:r>
      <w:r>
        <w:rPr>
          <w:lang w:val="es-MX"/>
        </w:rPr>
        <w:t>”</w:t>
      </w:r>
      <w:r w:rsidRPr="00BD6D48">
        <w:rPr>
          <w:lang w:val="es-MX"/>
        </w:rPr>
        <w:t xml:space="preserve"> son, en términos generales, armas de uso individual, como revólveres, pistolas, rifles y carabinas, escopetas, metralletas y ametralladoras ligeras. Las </w:t>
      </w:r>
      <w:r>
        <w:rPr>
          <w:lang w:val="es-MX"/>
        </w:rPr>
        <w:t>“</w:t>
      </w:r>
      <w:r w:rsidRPr="00BD6D48">
        <w:rPr>
          <w:lang w:val="es-MX"/>
        </w:rPr>
        <w:t>armas ligeras</w:t>
      </w:r>
      <w:r>
        <w:rPr>
          <w:lang w:val="es-MX"/>
        </w:rPr>
        <w:t>”</w:t>
      </w:r>
      <w:r w:rsidRPr="00BD6D48">
        <w:rPr>
          <w:lang w:val="es-MX"/>
        </w:rPr>
        <w:t xml:space="preserve"> son, en términos generales, armas diseñadas para ser utilizadas por dos o tres personas que actúan como tripulación, aunque algunas pueden ser transportadas y utilizadas por una sola persona. Entre ellas se incluyen las ametralladoras pesadas, los lanzagranadas portátiles y montados, las armas antiaéreas portátiles, las armas antitanque portátiles, los fusiles sin retroceso, los lanzadores portátiles de misiles antitanque y sistemas de cohetes, los lanzadores portátiles de sistemas de misiles antiaéreos y los morteros de calibre inferior a 100 milímetros.</w:t>
      </w:r>
    </w:p>
    <w:p w14:paraId="5B217121" w14:textId="77777777" w:rsidR="004E0982" w:rsidRPr="004E0982" w:rsidRDefault="004E0982" w:rsidP="004E0982">
      <w:pPr>
        <w:pStyle w:val="MText"/>
        <w:rPr>
          <w:lang w:val="es-MX"/>
        </w:rPr>
      </w:pPr>
      <w:r w:rsidRPr="004E0982">
        <w:rPr>
          <w:i/>
          <w:iCs/>
          <w:u w:val="single"/>
          <w:lang w:val="es-MX"/>
        </w:rPr>
        <w:t xml:space="preserve">Incautadas: </w:t>
      </w:r>
      <w:r w:rsidRPr="004E0982">
        <w:rPr>
          <w:lang w:val="es-MX"/>
        </w:rPr>
        <w:t>armas que han sido físicamente incautadas durante el período que abarca el informe por una autoridad competente, ya sea de manera temporal o no, en relación con un presunto delito penal o una infracción administrativa relacionada con dichas armas. A los efectos del cálculo del indicador 16.4.2, solo se tienen en cuenta las armas incautadas por delitos penales.</w:t>
      </w:r>
    </w:p>
    <w:p w14:paraId="2B143AC1" w14:textId="77777777" w:rsidR="003F293F" w:rsidRPr="003F293F" w:rsidRDefault="003F293F" w:rsidP="003F293F">
      <w:pPr>
        <w:pStyle w:val="MText"/>
        <w:rPr>
          <w:lang w:val="es-MX"/>
        </w:rPr>
      </w:pPr>
      <w:r w:rsidRPr="003F293F">
        <w:rPr>
          <w:i/>
          <w:iCs/>
          <w:u w:val="single"/>
          <w:lang w:val="es-MX"/>
        </w:rPr>
        <w:t>Encontradas</w:t>
      </w:r>
      <w:r w:rsidRPr="003F293F">
        <w:rPr>
          <w:lang w:val="es-MX"/>
        </w:rPr>
        <w:t xml:space="preserve">: armas incautadas por las autoridades que no están vinculadas a una investigación o inspección intencionada o planificada, ni atribuibles a ningún titular o propietario aparente, independientemente de que se haya denunciado su pérdida o robo. </w:t>
      </w:r>
    </w:p>
    <w:p w14:paraId="17E3A724" w14:textId="77777777" w:rsidR="00FB5458" w:rsidRPr="00FB5458" w:rsidRDefault="00FB5458" w:rsidP="00FB5458">
      <w:pPr>
        <w:pStyle w:val="MText"/>
        <w:rPr>
          <w:lang w:val="es-MX"/>
        </w:rPr>
      </w:pPr>
      <w:r w:rsidRPr="00FB5458">
        <w:rPr>
          <w:i/>
          <w:iCs/>
          <w:u w:val="single"/>
          <w:lang w:val="es-MX"/>
        </w:rPr>
        <w:t xml:space="preserve">Entrega: </w:t>
      </w:r>
      <w:r w:rsidRPr="00FB5458">
        <w:rPr>
          <w:lang w:val="es-MX"/>
        </w:rPr>
        <w:t>entrega voluntaria de armas a autoridades que no están vinculadas a una investigación o inspección planificada. La entrega puede producirse por iniciativa personal de un ciudadano en el contexto de una campaña de entrega voluntaria y de procesos de desarme, desmovilización y reintegración, entre otros.</w:t>
      </w:r>
    </w:p>
    <w:p w14:paraId="4676B334" w14:textId="77777777" w:rsidR="001B7D0E" w:rsidRPr="001B7D0E" w:rsidRDefault="001B7D0E" w:rsidP="001B7D0E">
      <w:pPr>
        <w:pStyle w:val="MText"/>
        <w:rPr>
          <w:lang w:val="es-MX"/>
        </w:rPr>
      </w:pPr>
      <w:r w:rsidRPr="001B7D0E">
        <w:rPr>
          <w:i/>
          <w:iCs/>
          <w:u w:val="single"/>
          <w:lang w:val="es-MX"/>
        </w:rPr>
        <w:t>Origen ilícito</w:t>
      </w:r>
      <w:r w:rsidRPr="001B7D0E">
        <w:rPr>
          <w:lang w:val="es-MX"/>
        </w:rPr>
        <w:t>: momento más temprano en la vida de un arma en el que esta era de naturaleza ilícita. Para determinar el origen ilícito, es necesario identificar el punto de desviación del arma y las circunstancias que lo rodean.</w:t>
      </w:r>
    </w:p>
    <w:p w14:paraId="67284978" w14:textId="77777777" w:rsidR="001B7D0E" w:rsidRPr="001B7D0E" w:rsidRDefault="001B7D0E" w:rsidP="001B7D0E">
      <w:pPr>
        <w:pStyle w:val="MText"/>
        <w:rPr>
          <w:lang w:val="es-MX"/>
        </w:rPr>
      </w:pPr>
      <w:r w:rsidRPr="001B7D0E">
        <w:rPr>
          <w:i/>
          <w:iCs/>
          <w:u w:val="single"/>
          <w:lang w:val="es-MX"/>
        </w:rPr>
        <w:t>Punto de desviación</w:t>
      </w:r>
      <w:r w:rsidRPr="001B7D0E">
        <w:rPr>
          <w:lang w:val="es-MX"/>
        </w:rPr>
        <w:t xml:space="preserve">: el punto en el espacio y el tiempo y/o las circunstancias en que las armas salieron del circuito lícito y entraron en el ilícito. Si se identifica mediante el rastreo, es necesario encontrar el último registro legal. En el caso de las armas fabricadas ilícitamente, el punto de desviación es la propia fabricación. </w:t>
      </w:r>
    </w:p>
    <w:p w14:paraId="23046EF8" w14:textId="77777777" w:rsidR="008D3F76" w:rsidRPr="008D3F76" w:rsidRDefault="008D3F76" w:rsidP="008D3F76">
      <w:pPr>
        <w:pStyle w:val="MText"/>
        <w:rPr>
          <w:lang w:val="es-MX"/>
        </w:rPr>
      </w:pPr>
      <w:r w:rsidRPr="008D3F76">
        <w:rPr>
          <w:i/>
          <w:iCs/>
          <w:u w:val="single"/>
          <w:lang w:val="es-MX"/>
        </w:rPr>
        <w:t xml:space="preserve">Último registro legal: </w:t>
      </w:r>
      <w:r w:rsidRPr="008D3F76">
        <w:rPr>
          <w:lang w:val="es-MX"/>
        </w:rPr>
        <w:t>última información disponible sobre el objeto, su estado (desactivado, robado, perdido, incautado, encontrado, entregado, enviado para su destrucción, confiscado, en tránsito, etc.) y su usuario final legal. La identificación del último registro legal puede requerir la presentación de varias solicitudes de localización individuales.</w:t>
      </w:r>
    </w:p>
    <w:p w14:paraId="7A772ABB" w14:textId="77777777" w:rsidR="008D3F76" w:rsidRPr="008D3F76" w:rsidRDefault="008D3F76" w:rsidP="008D3F76">
      <w:pPr>
        <w:pStyle w:val="MText"/>
        <w:rPr>
          <w:lang w:val="es-MX"/>
        </w:rPr>
      </w:pPr>
      <w:r w:rsidRPr="008D3F76">
        <w:rPr>
          <w:i/>
          <w:iCs/>
          <w:u w:val="single"/>
          <w:lang w:val="es-MX"/>
        </w:rPr>
        <w:t xml:space="preserve">Rastreo: </w:t>
      </w:r>
      <w:r w:rsidRPr="008D3F76">
        <w:rPr>
          <w:lang w:val="es-MX"/>
        </w:rPr>
        <w:t xml:space="preserve">seguimiento sistemático de las armas y, cuando sea posible, de sus piezas y componentes, así como de las municiones, a nivel nacional o internacional, con el fin de ayudar a las autoridades competentes de los </w:t>
      </w:r>
      <w:proofErr w:type="gramStart"/>
      <w:r w:rsidRPr="008D3F76">
        <w:rPr>
          <w:lang w:val="es-MX"/>
        </w:rPr>
        <w:t>Estados partes</w:t>
      </w:r>
      <w:proofErr w:type="gramEnd"/>
      <w:r w:rsidRPr="008D3F76">
        <w:rPr>
          <w:lang w:val="es-MX"/>
        </w:rPr>
        <w:t xml:space="preserve"> a detectar, investigar y analizar la fabricación y el tráfico ilícitos.</w:t>
      </w:r>
    </w:p>
    <w:p w14:paraId="0FBC4D1F" w14:textId="77777777" w:rsidR="00201020" w:rsidRPr="00201020" w:rsidRDefault="00201020" w:rsidP="00201020">
      <w:pPr>
        <w:pStyle w:val="MText"/>
        <w:rPr>
          <w:lang w:val="es-MX"/>
        </w:rPr>
      </w:pPr>
      <w:r w:rsidRPr="00201020">
        <w:rPr>
          <w:i/>
          <w:iCs/>
          <w:u w:val="single"/>
          <w:lang w:val="es-MX"/>
        </w:rPr>
        <w:t>Origen ilícito establecido por una autoridad competente de conformidad con los instrumentos internacionales</w:t>
      </w:r>
      <w:r w:rsidRPr="00201020">
        <w:rPr>
          <w:lang w:val="es-MX"/>
        </w:rPr>
        <w:t xml:space="preserve">: origen ilícito establecido por medios distintos del rastreo, por ejemplo, mediante información de inteligencia. En el caso de las armas que no son rastreables, este es el único medio para establecer el origen ilícito. </w:t>
      </w:r>
    </w:p>
    <w:p w14:paraId="45E76A50" w14:textId="77777777" w:rsidR="00201020" w:rsidRPr="00201020" w:rsidRDefault="00201020" w:rsidP="00201020">
      <w:pPr>
        <w:pStyle w:val="MText"/>
        <w:rPr>
          <w:lang w:val="es-MX"/>
        </w:rPr>
      </w:pPr>
      <w:r w:rsidRPr="00201020">
        <w:rPr>
          <w:i/>
          <w:iCs/>
          <w:u w:val="single"/>
          <w:lang w:val="es-MX"/>
        </w:rPr>
        <w:t xml:space="preserve">Marcado: </w:t>
      </w:r>
      <w:r w:rsidRPr="00201020">
        <w:rPr>
          <w:lang w:val="es-MX"/>
        </w:rPr>
        <w:t xml:space="preserve">Un artículo marcado de forma única tiene un marcado único que indica el nombre del fabricante, el país o lugar de fabricación y el número de serie, o bien lleva cualquier otro marcado único </w:t>
      </w:r>
      <w:r w:rsidRPr="00201020">
        <w:rPr>
          <w:lang w:val="es-MX"/>
        </w:rPr>
        <w:lastRenderedPageBreak/>
        <w:t>fácil de usar, con símbolos geométricos sencillos combinados con un código numérico y/o alfanumérico, que permita a todos los Estados identificar fácilmente el país de fabricación.</w:t>
      </w:r>
    </w:p>
    <w:p w14:paraId="6E54D3D6" w14:textId="77777777" w:rsidR="00EC2915" w:rsidRPr="00201020" w:rsidRDefault="00EC2915" w:rsidP="00576CFA">
      <w:pPr>
        <w:pStyle w:val="MText"/>
        <w:rPr>
          <w:lang w:val="es-MX"/>
        </w:rPr>
      </w:pPr>
    </w:p>
    <w:p w14:paraId="7932F8BD" w14:textId="1594FD23" w:rsidR="008B0AC7" w:rsidRPr="00C23DEE" w:rsidRDefault="00576CFA" w:rsidP="00F719A8">
      <w:pPr>
        <w:pStyle w:val="MHeader2"/>
        <w:rPr>
          <w:lang w:val="es-MX"/>
        </w:rPr>
      </w:pPr>
      <w:r w:rsidRPr="00C23DEE">
        <w:rPr>
          <w:lang w:val="es-MX"/>
        </w:rPr>
        <w:t>2.b.</w:t>
      </w:r>
      <w:r w:rsidR="008B0AC7" w:rsidRPr="00C23DEE">
        <w:rPr>
          <w:lang w:val="es-MX"/>
        </w:rPr>
        <w:t xml:space="preserve"> </w:t>
      </w:r>
      <w:bookmarkStart w:id="22" w:name="_Hlk196759769"/>
      <w:bookmarkStart w:id="23" w:name="_Hlk196761291"/>
      <w:r w:rsidR="00B370F4" w:rsidRPr="00C23DEE">
        <w:rPr>
          <w:lang w:val="es-MX"/>
        </w:rPr>
        <w:t>Unidad de medida</w:t>
      </w:r>
      <w:bookmarkEnd w:id="22"/>
      <w:bookmarkEnd w:id="23"/>
      <w:r w:rsidR="00B370F4" w:rsidRPr="00C23DEE">
        <w:rPr>
          <w:lang w:val="es-MX"/>
        </w:rPr>
        <w:t xml:space="preserve"> </w:t>
      </w:r>
      <w:r w:rsidRPr="00C23DEE">
        <w:rPr>
          <w:color w:val="B4B4B4"/>
          <w:sz w:val="20"/>
          <w:lang w:val="es-MX"/>
        </w:rPr>
        <w:t>(UNIT_MEASURE)</w:t>
      </w:r>
    </w:p>
    <w:p w14:paraId="548E9AAA" w14:textId="1731F369" w:rsidR="00EC2915" w:rsidRPr="00C23DEE" w:rsidRDefault="00304CFB" w:rsidP="00576CFA">
      <w:pPr>
        <w:pStyle w:val="MText"/>
        <w:rPr>
          <w:lang w:val="es-MX"/>
        </w:rPr>
      </w:pPr>
      <w:r w:rsidRPr="00C23DEE">
        <w:rPr>
          <w:lang w:val="es-MX"/>
        </w:rPr>
        <w:t>P</w:t>
      </w:r>
      <w:r w:rsidR="00F54138" w:rsidRPr="00C23DEE">
        <w:rPr>
          <w:lang w:val="es-MX"/>
        </w:rPr>
        <w:t>o</w:t>
      </w:r>
      <w:r w:rsidRPr="00C23DEE">
        <w:rPr>
          <w:lang w:val="es-MX"/>
        </w:rPr>
        <w:t>rcent</w:t>
      </w:r>
      <w:r w:rsidR="00F54138" w:rsidRPr="00C23DEE">
        <w:rPr>
          <w:lang w:val="es-MX"/>
        </w:rPr>
        <w:t>aje</w:t>
      </w:r>
      <w:r w:rsidRPr="00C23DEE">
        <w:rPr>
          <w:lang w:val="es-MX"/>
        </w:rPr>
        <w:t xml:space="preserve"> (%)</w:t>
      </w:r>
    </w:p>
    <w:p w14:paraId="6D12FF26" w14:textId="77777777" w:rsidR="00304CFB" w:rsidRPr="00C23DEE" w:rsidRDefault="00304CFB" w:rsidP="00576CFA">
      <w:pPr>
        <w:pStyle w:val="MText"/>
        <w:rPr>
          <w:lang w:val="es-MX"/>
        </w:rPr>
      </w:pPr>
    </w:p>
    <w:p w14:paraId="651AA7AC" w14:textId="70F4583E" w:rsidR="00DA615C" w:rsidRPr="00C23DEE" w:rsidRDefault="008B0AC7" w:rsidP="00F719A8">
      <w:pPr>
        <w:pStyle w:val="MHeader2"/>
        <w:rPr>
          <w:lang w:val="es-MX"/>
        </w:rPr>
      </w:pPr>
      <w:r w:rsidRPr="00C23DEE">
        <w:rPr>
          <w:lang w:val="es-MX"/>
        </w:rPr>
        <w:t xml:space="preserve">2.c. </w:t>
      </w:r>
      <w:bookmarkStart w:id="24" w:name="_Hlk196759776"/>
      <w:r w:rsidR="00B370F4" w:rsidRPr="00C23DEE">
        <w:rPr>
          <w:lang w:val="es-MX"/>
        </w:rPr>
        <w:t>Clasificaciones</w:t>
      </w:r>
      <w:bookmarkEnd w:id="24"/>
      <w:r w:rsidRPr="00C23DEE">
        <w:rPr>
          <w:lang w:val="es-MX"/>
        </w:rPr>
        <w:t xml:space="preserve"> </w:t>
      </w:r>
      <w:r w:rsidRPr="00C23DEE">
        <w:rPr>
          <w:color w:val="B4B4B4"/>
          <w:sz w:val="20"/>
          <w:lang w:val="es-MX"/>
        </w:rPr>
        <w:t>(CLASS_SYSTEM)</w:t>
      </w:r>
    </w:p>
    <w:p w14:paraId="3D384BA8" w14:textId="174ECD79" w:rsidR="00EC2915" w:rsidRPr="00C23DEE" w:rsidRDefault="00F54138" w:rsidP="00576CFA">
      <w:pPr>
        <w:pStyle w:val="MText"/>
        <w:rPr>
          <w:lang w:val="es-MX"/>
        </w:rPr>
      </w:pPr>
      <w:r w:rsidRPr="00C23DEE">
        <w:rPr>
          <w:lang w:val="es-MX"/>
        </w:rPr>
        <w:t xml:space="preserve">No aplica. </w:t>
      </w:r>
    </w:p>
    <w:p w14:paraId="55F461D6" w14:textId="77777777" w:rsidR="00F719A8" w:rsidRPr="00C23DEE" w:rsidRDefault="00F719A8" w:rsidP="00576CFA">
      <w:pPr>
        <w:pStyle w:val="MText"/>
        <w:rPr>
          <w:lang w:val="es-MX"/>
        </w:rPr>
      </w:pPr>
    </w:p>
    <w:p w14:paraId="1D3AEECA" w14:textId="51189F79" w:rsidR="00B31E2C" w:rsidRPr="00B370F4" w:rsidRDefault="00B31E2C" w:rsidP="00F719A8">
      <w:pPr>
        <w:pStyle w:val="MHeader"/>
        <w:rPr>
          <w:lang w:val="es-MX"/>
        </w:rPr>
      </w:pPr>
      <w:r w:rsidRPr="00B370F4">
        <w:rPr>
          <w:lang w:val="es-MX"/>
        </w:rPr>
        <w:t xml:space="preserve">3. </w:t>
      </w:r>
      <w:bookmarkStart w:id="25" w:name="_Hlk196759782"/>
      <w:r w:rsidR="00B370F4" w:rsidRPr="0063163D">
        <w:rPr>
          <w:lang w:val="es-MX"/>
        </w:rPr>
        <w:t>Tipo de fuentes de datos y método de recolección</w:t>
      </w:r>
      <w:bookmarkEnd w:id="25"/>
      <w:r w:rsidR="00B370F4" w:rsidRPr="0063163D">
        <w:rPr>
          <w:lang w:val="es-MX"/>
        </w:rPr>
        <w:t xml:space="preserve"> </w:t>
      </w:r>
      <w:r w:rsidRPr="00B370F4">
        <w:rPr>
          <w:color w:val="B4B4B4"/>
          <w:sz w:val="20"/>
          <w:lang w:val="es-MX"/>
        </w:rPr>
        <w:t>(SRC_TYPE_COLL_METHOD)</w:t>
      </w:r>
    </w:p>
    <w:p w14:paraId="340B050E" w14:textId="6D37FA2D" w:rsidR="008B0AC7" w:rsidRPr="00B370F4" w:rsidRDefault="008B0AC7" w:rsidP="00F719A8">
      <w:pPr>
        <w:pStyle w:val="MHeader2"/>
        <w:rPr>
          <w:lang w:val="es-MX"/>
        </w:rPr>
      </w:pPr>
      <w:r w:rsidRPr="00B370F4">
        <w:rPr>
          <w:lang w:val="es-MX"/>
        </w:rPr>
        <w:t xml:space="preserve">3.a. </w:t>
      </w:r>
      <w:bookmarkStart w:id="26" w:name="_Hlk196759788"/>
      <w:r w:rsidR="00B370F4" w:rsidRPr="0063163D">
        <w:rPr>
          <w:lang w:val="es-MX"/>
        </w:rPr>
        <w:t>Fuentes de datos</w:t>
      </w:r>
      <w:bookmarkEnd w:id="26"/>
      <w:r w:rsidR="00B370F4" w:rsidRPr="0063163D">
        <w:rPr>
          <w:lang w:val="es-MX"/>
        </w:rPr>
        <w:t xml:space="preserve"> </w:t>
      </w:r>
      <w:r w:rsidRPr="00B370F4">
        <w:rPr>
          <w:color w:val="B4B4B4"/>
          <w:sz w:val="20"/>
          <w:lang w:val="es-MX"/>
        </w:rPr>
        <w:t>(SOURCE_TYPE)</w:t>
      </w:r>
    </w:p>
    <w:p w14:paraId="702EE9CF" w14:textId="77777777" w:rsidR="00D213EF" w:rsidRPr="00D213EF" w:rsidRDefault="00D213EF" w:rsidP="00D213EF">
      <w:pPr>
        <w:pStyle w:val="MText"/>
        <w:rPr>
          <w:lang w:val="es-MX"/>
        </w:rPr>
      </w:pPr>
      <w:r w:rsidRPr="00D213EF">
        <w:rPr>
          <w:lang w:val="es-MX"/>
        </w:rPr>
        <w:t>A nivel nacional, los datos son proporcionados por las fuerzas del orden u otros organismos responsables de las cuestiones relacionadas con las armas de fuego.</w:t>
      </w:r>
    </w:p>
    <w:p w14:paraId="52CCA575" w14:textId="77777777" w:rsidR="00D213EF" w:rsidRPr="00D213EF" w:rsidRDefault="00D213EF" w:rsidP="00D213EF">
      <w:pPr>
        <w:pStyle w:val="MText"/>
        <w:rPr>
          <w:lang w:val="es-MX"/>
        </w:rPr>
      </w:pPr>
    </w:p>
    <w:p w14:paraId="0FF44BB4" w14:textId="77777777" w:rsidR="00D213EF" w:rsidRPr="00D213EF" w:rsidRDefault="00D213EF" w:rsidP="00D213EF">
      <w:pPr>
        <w:pStyle w:val="MText"/>
        <w:rPr>
          <w:lang w:val="es-MX"/>
        </w:rPr>
      </w:pPr>
      <w:r w:rsidRPr="00D213EF">
        <w:rPr>
          <w:lang w:val="es-MX"/>
        </w:rPr>
        <w:t xml:space="preserve">Dichos datos se comunican a nivel internacional a través de los cuadros 5.1 a 5.3 </w:t>
      </w:r>
      <w:proofErr w:type="spellStart"/>
      <w:r w:rsidRPr="00D213EF">
        <w:rPr>
          <w:lang w:val="es-MX"/>
        </w:rPr>
        <w:t>del</w:t>
      </w:r>
      <w:proofErr w:type="spellEnd"/>
      <w:r w:rsidRPr="00D213EF">
        <w:rPr>
          <w:lang w:val="es-MX"/>
        </w:rPr>
        <w:t xml:space="preserve"> UN-IAFQ. Para obtener información detallada, consulte el siguiente enlace: https://www.unodc.org/unodc/en/data-and-analysis/data-collections.html.</w:t>
      </w:r>
    </w:p>
    <w:p w14:paraId="2A08F5D5" w14:textId="77777777" w:rsidR="00D213EF" w:rsidRPr="00D213EF" w:rsidRDefault="00D213EF" w:rsidP="00D213EF">
      <w:pPr>
        <w:pStyle w:val="MText"/>
        <w:rPr>
          <w:lang w:val="es-MX"/>
        </w:rPr>
      </w:pPr>
    </w:p>
    <w:p w14:paraId="34CBC41F" w14:textId="77777777" w:rsidR="00D213EF" w:rsidRPr="00D213EF" w:rsidRDefault="00D213EF" w:rsidP="00D213EF">
      <w:pPr>
        <w:pStyle w:val="MText"/>
        <w:rPr>
          <w:lang w:val="es-MX"/>
        </w:rPr>
      </w:pPr>
      <w:r w:rsidRPr="00D213EF">
        <w:rPr>
          <w:lang w:val="es-MX"/>
        </w:rPr>
        <w:t>Estos datos se complementarán con los datos recopilados a través de los informes nacionales del Programa de Acción (</w:t>
      </w:r>
      <w:proofErr w:type="spellStart"/>
      <w:r w:rsidRPr="00D213EF">
        <w:rPr>
          <w:lang w:val="es-MX"/>
        </w:rPr>
        <w:t>PoA</w:t>
      </w:r>
      <w:proofErr w:type="spellEnd"/>
      <w:r w:rsidRPr="00D213EF">
        <w:rPr>
          <w:lang w:val="es-MX"/>
        </w:rPr>
        <w:t xml:space="preserve">); en particular, la sección 6 de su formulario de presentación de informes (los informes nacionales presentados por los Estados están disponibles en: </w:t>
      </w:r>
      <w:hyperlink r:id="rId11" w:history="1">
        <w:r w:rsidRPr="00D213EF">
          <w:rPr>
            <w:rStyle w:val="Hipervnculo"/>
            <w:lang w:val="es-MX"/>
          </w:rPr>
          <w:t>www.smallarms.un-arm.com/sustainable-development-goals</w:t>
        </w:r>
      </w:hyperlink>
      <w:r w:rsidRPr="00D213EF">
        <w:rPr>
          <w:lang w:val="es-MX"/>
        </w:rPr>
        <w:t>).</w:t>
      </w:r>
    </w:p>
    <w:p w14:paraId="082FA7A4" w14:textId="77777777" w:rsidR="00D213EF" w:rsidRPr="00D213EF" w:rsidRDefault="00D213EF" w:rsidP="00D213EF">
      <w:pPr>
        <w:pStyle w:val="MText"/>
        <w:rPr>
          <w:lang w:val="es-MX"/>
        </w:rPr>
      </w:pPr>
    </w:p>
    <w:p w14:paraId="273EF1E8" w14:textId="77777777" w:rsidR="00D213EF" w:rsidRPr="00D213EF" w:rsidRDefault="00D213EF" w:rsidP="00D213EF">
      <w:pPr>
        <w:pStyle w:val="MText"/>
        <w:rPr>
          <w:lang w:val="es-MX"/>
        </w:rPr>
      </w:pPr>
      <w:r w:rsidRPr="00D213EF">
        <w:rPr>
          <w:lang w:val="es-MX"/>
        </w:rPr>
        <w:t xml:space="preserve">Otras fuentes de datos son las publicaciones oficiales nacionales, así como los datos de organizaciones internacionales como la Organización Mundial de Aduanas e INTERPOL. </w:t>
      </w:r>
    </w:p>
    <w:p w14:paraId="3018A8D8" w14:textId="77777777" w:rsidR="00EC2915" w:rsidRPr="00D213EF" w:rsidRDefault="00EC2915" w:rsidP="00576CFA">
      <w:pPr>
        <w:pStyle w:val="MText"/>
        <w:rPr>
          <w:lang w:val="es-MX"/>
        </w:rPr>
      </w:pPr>
    </w:p>
    <w:p w14:paraId="79368080" w14:textId="6FDBC9EC" w:rsidR="008B0AC7" w:rsidRPr="00B370F4" w:rsidRDefault="00576CFA" w:rsidP="00F719A8">
      <w:pPr>
        <w:pStyle w:val="MHeader2"/>
        <w:rPr>
          <w:lang w:val="es-MX"/>
        </w:rPr>
      </w:pPr>
      <w:r w:rsidRPr="00B370F4">
        <w:rPr>
          <w:lang w:val="es-MX"/>
        </w:rPr>
        <w:t>3.b</w:t>
      </w:r>
      <w:r w:rsidR="008B0AC7" w:rsidRPr="00B370F4">
        <w:rPr>
          <w:lang w:val="es-MX"/>
        </w:rPr>
        <w:t xml:space="preserve">. </w:t>
      </w:r>
      <w:bookmarkStart w:id="27" w:name="_Hlk196759798"/>
      <w:r w:rsidR="00B370F4" w:rsidRPr="0063163D">
        <w:rPr>
          <w:lang w:val="es-MX"/>
        </w:rPr>
        <w:t>Método de recolección de datos</w:t>
      </w:r>
      <w:bookmarkEnd w:id="27"/>
      <w:r w:rsidR="00B370F4" w:rsidRPr="0063163D">
        <w:rPr>
          <w:lang w:val="es-MX"/>
        </w:rPr>
        <w:t xml:space="preserve"> </w:t>
      </w:r>
      <w:r w:rsidRPr="00B370F4">
        <w:rPr>
          <w:color w:val="B4B4B4"/>
          <w:sz w:val="20"/>
          <w:lang w:val="es-MX"/>
        </w:rPr>
        <w:t>(COLL_METHOD)</w:t>
      </w:r>
    </w:p>
    <w:p w14:paraId="3CF3FB70" w14:textId="77777777" w:rsidR="00EF26E7" w:rsidRPr="00EF26E7" w:rsidRDefault="00EF26E7" w:rsidP="00EF26E7">
      <w:pPr>
        <w:pStyle w:val="MText"/>
        <w:rPr>
          <w:lang w:val="es-MX"/>
        </w:rPr>
      </w:pPr>
      <w:r w:rsidRPr="00EF26E7">
        <w:rPr>
          <w:lang w:val="es-MX"/>
        </w:rPr>
        <w:t xml:space="preserve">El IAFQ se envía a los Estados Miembros cada año (primer ciclo de datos en 2018). Las contrapartes oficiales a nivel nacional son designadas como puntos focales y se encargan de coordinar la recolección de datos entre las diferentes instituciones nacionales. </w:t>
      </w:r>
    </w:p>
    <w:p w14:paraId="7701C5AF" w14:textId="77777777" w:rsidR="00EF26E7" w:rsidRPr="00EF26E7" w:rsidRDefault="00EF26E7" w:rsidP="00EF26E7">
      <w:pPr>
        <w:pStyle w:val="MText"/>
        <w:rPr>
          <w:lang w:val="es-MX"/>
        </w:rPr>
      </w:pPr>
    </w:p>
    <w:p w14:paraId="1A09CE27" w14:textId="77777777" w:rsidR="00EF26E7" w:rsidRPr="00EF26E7" w:rsidRDefault="00EF26E7" w:rsidP="00EF26E7">
      <w:pPr>
        <w:pStyle w:val="MText"/>
        <w:rPr>
          <w:lang w:val="es-MX"/>
        </w:rPr>
      </w:pPr>
      <w:r w:rsidRPr="00EF26E7">
        <w:rPr>
          <w:lang w:val="es-MX"/>
        </w:rPr>
        <w:t xml:space="preserve">Los datos pertinentes también se recopilan cada dos años a través de los informes nacionales del Programa de Acción (revisados en 2022). </w:t>
      </w:r>
    </w:p>
    <w:p w14:paraId="05366026" w14:textId="77777777" w:rsidR="00EF26E7" w:rsidRPr="00EF26E7" w:rsidRDefault="00EF26E7" w:rsidP="00EF26E7">
      <w:pPr>
        <w:pStyle w:val="MText"/>
        <w:rPr>
          <w:lang w:val="es-MX"/>
        </w:rPr>
      </w:pPr>
      <w:r w:rsidRPr="00EF26E7">
        <w:rPr>
          <w:lang w:val="es-MX"/>
        </w:rPr>
        <w:t xml:space="preserve">Los datos de fuentes alternativas se recopilan a lo largo del año y se incorporan a la base de datos interna, paralelamente a las recolecciones de datos mencionadas anteriormente. Tanto la UNODC como la UNODA llevan a cabo procesos de validación de datos de sus respectivos conjuntos de datos con los Estados Miembros y cooperan en la consolidación de los datos. </w:t>
      </w:r>
    </w:p>
    <w:p w14:paraId="12134B34" w14:textId="77777777" w:rsidR="00EF26E7" w:rsidRPr="00EF26E7" w:rsidRDefault="00EF26E7" w:rsidP="00EF26E7">
      <w:pPr>
        <w:pStyle w:val="MText"/>
        <w:rPr>
          <w:lang w:val="es-MX"/>
        </w:rPr>
      </w:pPr>
    </w:p>
    <w:p w14:paraId="0938C29D" w14:textId="77777777" w:rsidR="00EF26E7" w:rsidRPr="00EF26E7" w:rsidRDefault="00EF26E7" w:rsidP="00EF26E7">
      <w:pPr>
        <w:pStyle w:val="MText"/>
        <w:rPr>
          <w:lang w:val="es-MX"/>
        </w:rPr>
      </w:pPr>
      <w:r w:rsidRPr="00EF26E7">
        <w:rPr>
          <w:lang w:val="es-MX"/>
        </w:rPr>
        <w:t xml:space="preserve">Una vez consolidados los datos, la UNODC compartirá su conjunto de datos con los Estados Miembros para que lo examinen antes de su publicación. </w:t>
      </w:r>
    </w:p>
    <w:p w14:paraId="7D9F065F" w14:textId="77777777" w:rsidR="00EC2915" w:rsidRPr="00EF26E7" w:rsidRDefault="00EC2915" w:rsidP="00576CFA">
      <w:pPr>
        <w:pStyle w:val="MText"/>
        <w:rPr>
          <w:lang w:val="es-MX"/>
        </w:rPr>
      </w:pPr>
    </w:p>
    <w:p w14:paraId="170A2C05" w14:textId="713C7CF9" w:rsidR="00E46D96" w:rsidRPr="00B370F4" w:rsidRDefault="00E46D96" w:rsidP="00F719A8">
      <w:pPr>
        <w:pStyle w:val="MHeader2"/>
        <w:rPr>
          <w:lang w:val="es-MX"/>
        </w:rPr>
      </w:pPr>
      <w:r w:rsidRPr="00B370F4">
        <w:rPr>
          <w:lang w:val="es-MX"/>
        </w:rPr>
        <w:t xml:space="preserve">3.c. </w:t>
      </w:r>
      <w:bookmarkStart w:id="28" w:name="_Hlk196759804"/>
      <w:r w:rsidR="00B370F4" w:rsidRPr="0063163D">
        <w:rPr>
          <w:lang w:val="es-MX"/>
        </w:rPr>
        <w:t>Calendario de recolección de datos</w:t>
      </w:r>
      <w:bookmarkEnd w:id="28"/>
      <w:r w:rsidR="00B370F4" w:rsidRPr="0063163D">
        <w:rPr>
          <w:lang w:val="es-MX"/>
        </w:rPr>
        <w:t xml:space="preserve"> </w:t>
      </w:r>
      <w:r w:rsidRPr="00B370F4">
        <w:rPr>
          <w:color w:val="B4B4B4"/>
          <w:sz w:val="20"/>
          <w:lang w:val="es-MX"/>
        </w:rPr>
        <w:t>(FREQ_COLL)</w:t>
      </w:r>
    </w:p>
    <w:p w14:paraId="2BADA3A6" w14:textId="77777777" w:rsidR="003064E0" w:rsidRPr="003064E0" w:rsidRDefault="003064E0" w:rsidP="003064E0">
      <w:pPr>
        <w:pStyle w:val="MText"/>
        <w:rPr>
          <w:lang w:val="es-MX"/>
        </w:rPr>
      </w:pPr>
      <w:r w:rsidRPr="003064E0">
        <w:rPr>
          <w:lang w:val="es-MX"/>
        </w:rPr>
        <w:lastRenderedPageBreak/>
        <w:t>El primer ciclo de recolección de datos para compilar el indicador a través del IAFQ comenzó en 2018, cubriendo los años de referencia 2016 y 2017. Desde entonces, los datos principales del IAFQ se recopilan directamente de los Estados Miembros cada año entre mayo y julio. Los datos se validan y se comunican para su inclusión en la base de datos mundial anualmente en el primer trimestre.</w:t>
      </w:r>
    </w:p>
    <w:p w14:paraId="3F6BD4BF" w14:textId="77777777" w:rsidR="003064E0" w:rsidRPr="003064E0" w:rsidRDefault="003064E0" w:rsidP="003064E0">
      <w:pPr>
        <w:pStyle w:val="MText"/>
        <w:rPr>
          <w:lang w:val="es-MX"/>
        </w:rPr>
      </w:pPr>
    </w:p>
    <w:p w14:paraId="5B972C85" w14:textId="26CD7B21" w:rsidR="00754FCE" w:rsidRDefault="003064E0" w:rsidP="003064E0">
      <w:pPr>
        <w:pStyle w:val="MText"/>
        <w:rPr>
          <w:lang w:val="es-MX"/>
        </w:rPr>
      </w:pPr>
      <w:r w:rsidRPr="003064E0">
        <w:rPr>
          <w:lang w:val="es-MX"/>
        </w:rPr>
        <w:t xml:space="preserve">En cuanto a los datos complementarios, el primer ciclo de recolección de datos para los informes nacionales del </w:t>
      </w:r>
      <w:proofErr w:type="spellStart"/>
      <w:r w:rsidRPr="003064E0">
        <w:rPr>
          <w:lang w:val="es-MX"/>
        </w:rPr>
        <w:t>PoA</w:t>
      </w:r>
      <w:proofErr w:type="spellEnd"/>
      <w:r w:rsidRPr="003064E0">
        <w:rPr>
          <w:lang w:val="es-MX"/>
        </w:rPr>
        <w:t xml:space="preserve"> comenzó en 2018, cubriendo los años de referencia 2016 y 2017. El ciclo de recolección de datos de 2020 abarcó el período 2018-2019, los datos recibidos en 2022 abarcaron el período de presentación de informes 2020-2021 y los datos recibidos en 2024 abarcaron el período de presentación de informes 2022-2023. La recolección de datos para los informes nacionales del </w:t>
      </w:r>
      <w:proofErr w:type="spellStart"/>
      <w:r w:rsidRPr="003064E0">
        <w:rPr>
          <w:lang w:val="es-MX"/>
        </w:rPr>
        <w:t>PoA</w:t>
      </w:r>
      <w:proofErr w:type="spellEnd"/>
      <w:r w:rsidRPr="003064E0">
        <w:rPr>
          <w:lang w:val="es-MX"/>
        </w:rPr>
        <w:t xml:space="preserve"> continuará con una periodicidad bienal similar, en la que los Estados Miembros presentarán sus informes antes de las reuniones y conferencias del proceso del </w:t>
      </w:r>
      <w:proofErr w:type="spellStart"/>
      <w:r w:rsidRPr="003064E0">
        <w:rPr>
          <w:lang w:val="es-MX"/>
        </w:rPr>
        <w:t>PoA</w:t>
      </w:r>
      <w:proofErr w:type="spellEnd"/>
      <w:r w:rsidRPr="003064E0">
        <w:rPr>
          <w:lang w:val="es-MX"/>
        </w:rPr>
        <w:t>.</w:t>
      </w:r>
    </w:p>
    <w:p w14:paraId="05FCC514" w14:textId="77777777" w:rsidR="009A7162" w:rsidRPr="003064E0" w:rsidRDefault="009A7162" w:rsidP="003064E0">
      <w:pPr>
        <w:pStyle w:val="MText"/>
        <w:rPr>
          <w:lang w:val="es-MX"/>
        </w:rPr>
      </w:pPr>
    </w:p>
    <w:p w14:paraId="7D466604" w14:textId="011A58E0" w:rsidR="00E46D96" w:rsidRPr="00B370F4" w:rsidRDefault="00E46D96" w:rsidP="00F719A8">
      <w:pPr>
        <w:pStyle w:val="MHeader2"/>
        <w:rPr>
          <w:lang w:val="es-MX"/>
        </w:rPr>
      </w:pPr>
      <w:r w:rsidRPr="00B370F4">
        <w:rPr>
          <w:lang w:val="es-MX"/>
        </w:rPr>
        <w:t xml:space="preserve">3.d. </w:t>
      </w:r>
      <w:bookmarkStart w:id="29" w:name="_Hlk196759813"/>
      <w:r w:rsidR="00B370F4" w:rsidRPr="0063163D">
        <w:rPr>
          <w:lang w:val="es-MX"/>
        </w:rPr>
        <w:t>Calendario de publicación de datos</w:t>
      </w:r>
      <w:bookmarkEnd w:id="29"/>
      <w:r w:rsidR="00B370F4" w:rsidRPr="0063163D">
        <w:rPr>
          <w:lang w:val="es-MX"/>
        </w:rPr>
        <w:t xml:space="preserve"> </w:t>
      </w:r>
      <w:r w:rsidRPr="00B370F4">
        <w:rPr>
          <w:color w:val="B4B4B4"/>
          <w:sz w:val="20"/>
          <w:lang w:val="es-MX"/>
        </w:rPr>
        <w:t>(REL_CAL_POLICY)</w:t>
      </w:r>
    </w:p>
    <w:p w14:paraId="7DEA9D96" w14:textId="77777777" w:rsidR="009A7162" w:rsidRPr="009A7162" w:rsidRDefault="009A7162" w:rsidP="009A7162">
      <w:pPr>
        <w:pStyle w:val="MText"/>
        <w:rPr>
          <w:lang w:val="es-MX"/>
        </w:rPr>
      </w:pPr>
      <w:r w:rsidRPr="009A7162">
        <w:rPr>
          <w:lang w:val="es-MX"/>
        </w:rPr>
        <w:t>Se espera que los cálculos preliminares del indicador anual a nivel nacional, regional y subregional se compartan en marzo de cada año.</w:t>
      </w:r>
    </w:p>
    <w:p w14:paraId="76344919" w14:textId="77777777" w:rsidR="00754FCE" w:rsidRPr="009A7162" w:rsidRDefault="00754FCE" w:rsidP="00576CFA">
      <w:pPr>
        <w:pStyle w:val="MText"/>
        <w:rPr>
          <w:lang w:val="es-MX"/>
        </w:rPr>
      </w:pPr>
    </w:p>
    <w:p w14:paraId="3A4F3065" w14:textId="08FCEFC7" w:rsidR="00E46D96" w:rsidRPr="00C23DEE" w:rsidRDefault="00E46D96" w:rsidP="00F719A8">
      <w:pPr>
        <w:pStyle w:val="MHeader2"/>
        <w:rPr>
          <w:lang w:val="pt-BR"/>
        </w:rPr>
      </w:pPr>
      <w:r w:rsidRPr="00C23DEE">
        <w:rPr>
          <w:lang w:val="pt-BR"/>
        </w:rPr>
        <w:t xml:space="preserve">3.e. </w:t>
      </w:r>
      <w:bookmarkStart w:id="30" w:name="_Hlk196759819"/>
      <w:proofErr w:type="spellStart"/>
      <w:r w:rsidR="00B370F4" w:rsidRPr="00C23DEE">
        <w:rPr>
          <w:lang w:val="pt-BR"/>
        </w:rPr>
        <w:t>Proveedores</w:t>
      </w:r>
      <w:proofErr w:type="spellEnd"/>
      <w:r w:rsidR="00B370F4" w:rsidRPr="00C23DEE">
        <w:rPr>
          <w:lang w:val="pt-BR"/>
        </w:rPr>
        <w:t xml:space="preserve"> de </w:t>
      </w:r>
      <w:proofErr w:type="spellStart"/>
      <w:r w:rsidR="00B370F4" w:rsidRPr="00C23DEE">
        <w:rPr>
          <w:lang w:val="pt-BR"/>
        </w:rPr>
        <w:t>datos</w:t>
      </w:r>
      <w:bookmarkEnd w:id="30"/>
      <w:proofErr w:type="spellEnd"/>
      <w:r w:rsidR="00B370F4" w:rsidRPr="00C23DEE">
        <w:rPr>
          <w:lang w:val="pt-BR"/>
        </w:rPr>
        <w:t xml:space="preserve"> </w:t>
      </w:r>
      <w:r w:rsidRPr="00C23DEE">
        <w:rPr>
          <w:color w:val="B4B4B4"/>
          <w:sz w:val="20"/>
          <w:lang w:val="pt-BR"/>
        </w:rPr>
        <w:t>(DATA_SOURCE)</w:t>
      </w:r>
    </w:p>
    <w:p w14:paraId="3428C404" w14:textId="77777777" w:rsidR="009A7162" w:rsidRPr="009A7162" w:rsidRDefault="009A7162" w:rsidP="009A7162">
      <w:pPr>
        <w:pStyle w:val="MText"/>
        <w:rPr>
          <w:lang w:val="es-MX"/>
        </w:rPr>
      </w:pPr>
      <w:r w:rsidRPr="009A7162">
        <w:rPr>
          <w:lang w:val="es-MX"/>
        </w:rPr>
        <w:t>La mayoría de los proveedores de datos son organismos encargados de hacer cumplir la ley, entre ellos la policía nacional, la policía regional o estatal, las aduanas, el ejército, etc. Los puntos focales a nivel nacional se encargan de recopilar los datos y de presentarlos.</w:t>
      </w:r>
    </w:p>
    <w:p w14:paraId="531AEB3E" w14:textId="77777777" w:rsidR="00754FCE" w:rsidRPr="009A7162" w:rsidRDefault="00754FCE" w:rsidP="00576CFA">
      <w:pPr>
        <w:pStyle w:val="MText"/>
        <w:rPr>
          <w:lang w:val="es-MX"/>
        </w:rPr>
      </w:pPr>
    </w:p>
    <w:p w14:paraId="30DC8E05" w14:textId="20D9F552" w:rsidR="00E46D96" w:rsidRPr="00B370F4" w:rsidRDefault="00E46D96" w:rsidP="00F719A8">
      <w:pPr>
        <w:pStyle w:val="MHeader2"/>
        <w:rPr>
          <w:lang w:val="es-MX"/>
        </w:rPr>
      </w:pPr>
      <w:r w:rsidRPr="00B370F4">
        <w:rPr>
          <w:lang w:val="es-MX"/>
        </w:rPr>
        <w:t xml:space="preserve">3.f. </w:t>
      </w:r>
      <w:bookmarkStart w:id="31" w:name="_Hlk196759827"/>
      <w:r w:rsidR="00B370F4" w:rsidRPr="0063163D">
        <w:rPr>
          <w:lang w:val="es-MX"/>
        </w:rPr>
        <w:t>Compiladores de datos</w:t>
      </w:r>
      <w:bookmarkEnd w:id="31"/>
      <w:r w:rsidR="00B370F4" w:rsidRPr="0063163D">
        <w:rPr>
          <w:lang w:val="es-MX"/>
        </w:rPr>
        <w:t xml:space="preserve"> </w:t>
      </w:r>
      <w:r w:rsidRPr="00B370F4">
        <w:rPr>
          <w:color w:val="B4B4B4"/>
          <w:sz w:val="20"/>
          <w:lang w:val="es-MX"/>
        </w:rPr>
        <w:t>(COMPILING_ORG)</w:t>
      </w:r>
    </w:p>
    <w:p w14:paraId="7ACCD9D1" w14:textId="77777777" w:rsidR="009A7162" w:rsidRPr="00B31070" w:rsidRDefault="009A7162" w:rsidP="009A7162">
      <w:pPr>
        <w:pStyle w:val="MGTHeader"/>
        <w:rPr>
          <w:color w:val="4A4A4A"/>
          <w:lang w:val="es-MX"/>
        </w:rPr>
      </w:pPr>
      <w:r w:rsidRPr="004A2E21">
        <w:rPr>
          <w:lang w:val="es-MX"/>
        </w:rPr>
        <w:t>Oficina de Naciones Unidas contra la Droga y el Delito</w:t>
      </w:r>
      <w:r>
        <w:rPr>
          <w:lang w:val="es-MX"/>
        </w:rPr>
        <w:t xml:space="preserve"> </w:t>
      </w:r>
      <w:r w:rsidRPr="00B31070">
        <w:rPr>
          <w:lang w:val="es-MX"/>
        </w:rPr>
        <w:t>(UNODC) y la Oficina de Asuntos de De</w:t>
      </w:r>
      <w:r>
        <w:rPr>
          <w:lang w:val="es-MX"/>
        </w:rPr>
        <w:t xml:space="preserve">sarme de las Naciones Unidas </w:t>
      </w:r>
      <w:r w:rsidRPr="00B31070">
        <w:rPr>
          <w:lang w:val="es-MX"/>
        </w:rPr>
        <w:t>(UNODA)</w:t>
      </w:r>
    </w:p>
    <w:p w14:paraId="5C43435B" w14:textId="77777777" w:rsidR="00EC2915" w:rsidRPr="009A7162" w:rsidRDefault="00EC2915" w:rsidP="00C75A41">
      <w:pPr>
        <w:pStyle w:val="MText"/>
        <w:rPr>
          <w:lang w:val="es-MX"/>
        </w:rPr>
      </w:pPr>
    </w:p>
    <w:p w14:paraId="5655E768" w14:textId="607A632C" w:rsidR="00E46D96" w:rsidRPr="00C23DEE" w:rsidRDefault="00E46D96" w:rsidP="00F719A8">
      <w:pPr>
        <w:pStyle w:val="MHeader2"/>
        <w:rPr>
          <w:lang w:val="es-MX"/>
        </w:rPr>
      </w:pPr>
      <w:r w:rsidRPr="00C23DEE">
        <w:rPr>
          <w:lang w:val="es-MX"/>
        </w:rPr>
        <w:t xml:space="preserve">3.g. </w:t>
      </w:r>
      <w:bookmarkStart w:id="32" w:name="_Hlk196759834"/>
      <w:r w:rsidR="00B370F4" w:rsidRPr="00C23DEE">
        <w:rPr>
          <w:lang w:val="es-MX"/>
        </w:rPr>
        <w:t>Mandato institucional</w:t>
      </w:r>
      <w:bookmarkEnd w:id="32"/>
      <w:r w:rsidR="00B370F4" w:rsidRPr="00C23DEE">
        <w:rPr>
          <w:lang w:val="es-MX"/>
        </w:rPr>
        <w:t xml:space="preserve"> </w:t>
      </w:r>
      <w:r w:rsidRPr="00C23DEE">
        <w:rPr>
          <w:color w:val="B4B4B4"/>
          <w:sz w:val="20"/>
          <w:lang w:val="es-MX"/>
        </w:rPr>
        <w:t>(INST_MANDATE)</w:t>
      </w:r>
    </w:p>
    <w:p w14:paraId="073E0C5E" w14:textId="77777777" w:rsidR="00783144" w:rsidRPr="00783144" w:rsidRDefault="00783144" w:rsidP="00783144">
      <w:pPr>
        <w:pStyle w:val="MText"/>
        <w:rPr>
          <w:b/>
          <w:bCs/>
          <w:lang w:val="es-MX"/>
        </w:rPr>
      </w:pPr>
      <w:r w:rsidRPr="00783144">
        <w:rPr>
          <w:b/>
          <w:bCs/>
          <w:lang w:val="es-MX"/>
        </w:rPr>
        <w:t>CTOC/COP/2020, Res. 10/2, Conferencia de las Partes en la Convención de las Naciones Unidas contra la Delincuencia Organizada Transnacional:</w:t>
      </w:r>
    </w:p>
    <w:p w14:paraId="726D22D9" w14:textId="77777777" w:rsidR="00783144" w:rsidRPr="00783144" w:rsidRDefault="00783144" w:rsidP="00783144">
      <w:pPr>
        <w:pStyle w:val="MText"/>
        <w:rPr>
          <w:lang w:val="es-MX"/>
        </w:rPr>
      </w:pPr>
      <w:r w:rsidRPr="00783144">
        <w:rPr>
          <w:lang w:val="es-MX"/>
        </w:rPr>
        <w:t>8. Exhorta a los Estados a que desarrollen o fortalezcan su capacidad nacional para la recolección y el análisis de datos sobre el tráfico ilícito de armas de fuego, con miras a identificar tendencias y patrones, fomentar el intercambio de información y permitir la supervisión mundial de los progresos realizados en relación con el indicador 16.4.2 de los Objetivos de Desarrollo Sostenible, e invita a los Estados partes a que participen y contribuyan al próximo ciclo de recolección de datos de la Oficina de las Naciones Unidas contra la Droga y el Delito proporcionando datos e información cuantitativos y cualitativos.</w:t>
      </w:r>
    </w:p>
    <w:p w14:paraId="5FDEE195" w14:textId="77777777" w:rsidR="00783144" w:rsidRPr="00783144" w:rsidRDefault="00783144" w:rsidP="00783144">
      <w:pPr>
        <w:pStyle w:val="MText"/>
        <w:rPr>
          <w:b/>
          <w:bCs/>
          <w:lang w:val="es-MX"/>
        </w:rPr>
      </w:pPr>
    </w:p>
    <w:p w14:paraId="0480E9A0" w14:textId="77777777" w:rsidR="00783144" w:rsidRPr="00783144" w:rsidRDefault="00783144" w:rsidP="00783144">
      <w:pPr>
        <w:pStyle w:val="MText"/>
        <w:rPr>
          <w:b/>
          <w:bCs/>
          <w:lang w:val="es-MX"/>
        </w:rPr>
      </w:pPr>
      <w:r w:rsidRPr="00783144">
        <w:rPr>
          <w:b/>
          <w:bCs/>
          <w:lang w:val="es-MX"/>
        </w:rPr>
        <w:t>A/RES/72/57, El tráfico ilícito de armas pequeñas y ligeras en todos sus aspectos:</w:t>
      </w:r>
    </w:p>
    <w:p w14:paraId="608F4017" w14:textId="77777777" w:rsidR="00783144" w:rsidRPr="00783144" w:rsidRDefault="00783144" w:rsidP="00783144">
      <w:pPr>
        <w:pStyle w:val="MText"/>
        <w:rPr>
          <w:lang w:val="es-MX"/>
        </w:rPr>
      </w:pPr>
      <w:r w:rsidRPr="00783144">
        <w:rPr>
          <w:lang w:val="es-MX"/>
        </w:rPr>
        <w:t>8. Subraya la importancia de la implementación plena y efectiva del Programa de Acción y del Instrumento Internacional de Rastreo para alcanzar el Objetivo 16 y la meta 16.4 de los Objetivos de Desarrollo Sostenible;</w:t>
      </w:r>
    </w:p>
    <w:p w14:paraId="729AAF8F" w14:textId="77777777" w:rsidR="00783144" w:rsidRPr="00783144" w:rsidRDefault="00783144" w:rsidP="00783144">
      <w:pPr>
        <w:pStyle w:val="MText"/>
        <w:rPr>
          <w:b/>
          <w:bCs/>
          <w:lang w:val="es-MX"/>
        </w:rPr>
      </w:pPr>
      <w:r w:rsidRPr="00783144">
        <w:rPr>
          <w:lang w:val="es-MX"/>
        </w:rPr>
        <w:t>Y las resoluciones posteriores sobre el tráfico ilícito de armas pequeñas y ligeras en todos sus aspectos, incluido el párrafo 10,</w:t>
      </w:r>
      <w:r w:rsidRPr="00783144">
        <w:rPr>
          <w:b/>
          <w:bCs/>
          <w:lang w:val="es-MX"/>
        </w:rPr>
        <w:t xml:space="preserve"> A/RES/77/71.</w:t>
      </w:r>
    </w:p>
    <w:p w14:paraId="334DEECC" w14:textId="77777777" w:rsidR="00783144" w:rsidRPr="00783144" w:rsidRDefault="00783144" w:rsidP="00783144">
      <w:pPr>
        <w:pStyle w:val="MText"/>
        <w:rPr>
          <w:b/>
          <w:bCs/>
          <w:lang w:val="es-MX"/>
        </w:rPr>
      </w:pPr>
    </w:p>
    <w:p w14:paraId="4FCEC6AD" w14:textId="77777777" w:rsidR="00783144" w:rsidRPr="00783144" w:rsidRDefault="00783144" w:rsidP="00783144">
      <w:pPr>
        <w:pStyle w:val="MText"/>
        <w:rPr>
          <w:b/>
          <w:bCs/>
          <w:lang w:val="es-MX"/>
        </w:rPr>
      </w:pPr>
      <w:r w:rsidRPr="00783144">
        <w:rPr>
          <w:b/>
          <w:bCs/>
          <w:lang w:val="es-MX"/>
        </w:rPr>
        <w:t>A/CONF.192/BMS/2022/1: Documento final de la BMS8:</w:t>
      </w:r>
    </w:p>
    <w:p w14:paraId="4AA8A806" w14:textId="77777777" w:rsidR="00783144" w:rsidRPr="00783144" w:rsidRDefault="00783144" w:rsidP="00783144">
      <w:pPr>
        <w:pStyle w:val="MText"/>
        <w:rPr>
          <w:lang w:val="es-MX"/>
        </w:rPr>
      </w:pPr>
      <w:r w:rsidRPr="00783144">
        <w:rPr>
          <w:lang w:val="es-MX"/>
        </w:rPr>
        <w:lastRenderedPageBreak/>
        <w:t>25. Destacar, según proceda y de forma voluntaria, los progresos realizados en los esfuerzos de recolección de datos en el marco del indicador 16.4.2 de la Agenda 2030 para el Desarrollo Sostenible, como parte de los informes nacionales sobre la implementación del Programa de Acción y el Instrumento Internacional de Rastreo, optimizando el uso de los informes nacionales.</w:t>
      </w:r>
    </w:p>
    <w:p w14:paraId="07E2CC7B" w14:textId="77777777" w:rsidR="00F719A8" w:rsidRPr="00783144" w:rsidRDefault="00F719A8" w:rsidP="00576CFA">
      <w:pPr>
        <w:pStyle w:val="MText"/>
        <w:rPr>
          <w:lang w:val="es-MX"/>
        </w:rPr>
      </w:pPr>
    </w:p>
    <w:p w14:paraId="6149DC94" w14:textId="5445329D" w:rsidR="00B31E2C" w:rsidRPr="00B370F4" w:rsidRDefault="00B31E2C" w:rsidP="00AF5ED1">
      <w:pPr>
        <w:pStyle w:val="MHeader"/>
        <w:rPr>
          <w:lang w:val="es-MX"/>
        </w:rPr>
      </w:pPr>
      <w:r w:rsidRPr="00B370F4">
        <w:rPr>
          <w:lang w:val="es-MX"/>
        </w:rPr>
        <w:t xml:space="preserve">4. </w:t>
      </w:r>
      <w:bookmarkStart w:id="33" w:name="_Hlk196759841"/>
      <w:r w:rsidR="00B370F4" w:rsidRPr="0063163D">
        <w:rPr>
          <w:lang w:val="es-MX"/>
        </w:rPr>
        <w:t>Otras consideraciones metodológicas</w:t>
      </w:r>
      <w:bookmarkEnd w:id="33"/>
      <w:r w:rsidR="00B370F4" w:rsidRPr="0063163D">
        <w:rPr>
          <w:lang w:val="es-MX"/>
        </w:rPr>
        <w:t xml:space="preserve"> </w:t>
      </w:r>
      <w:r w:rsidR="0024604D" w:rsidRPr="00B370F4">
        <w:rPr>
          <w:color w:val="B4B4B4"/>
          <w:sz w:val="20"/>
          <w:lang w:val="es-MX"/>
        </w:rPr>
        <w:t>(OTHER_METHOD)</w:t>
      </w:r>
    </w:p>
    <w:p w14:paraId="1AFA5517" w14:textId="12901894" w:rsidR="00AF5ED1" w:rsidRPr="00C23DEE" w:rsidRDefault="00576CFA" w:rsidP="00F719A8">
      <w:pPr>
        <w:pStyle w:val="MHeader2"/>
        <w:rPr>
          <w:lang w:val="es-MX"/>
        </w:rPr>
      </w:pPr>
      <w:r w:rsidRPr="00C23DEE">
        <w:rPr>
          <w:lang w:val="es-MX"/>
        </w:rPr>
        <w:t xml:space="preserve">4.a. </w:t>
      </w:r>
      <w:bookmarkStart w:id="34" w:name="_Hlk196759850"/>
      <w:r w:rsidR="00B370F4" w:rsidRPr="00C23DEE">
        <w:rPr>
          <w:lang w:val="es-MX"/>
        </w:rPr>
        <w:t>Justificación</w:t>
      </w:r>
      <w:bookmarkEnd w:id="34"/>
      <w:r w:rsidRPr="00C23DEE">
        <w:rPr>
          <w:lang w:val="es-MX"/>
        </w:rPr>
        <w:t xml:space="preserve"> </w:t>
      </w:r>
      <w:r w:rsidRPr="00C23DEE">
        <w:rPr>
          <w:color w:val="B4B4B4"/>
          <w:sz w:val="20"/>
          <w:lang w:val="es-MX"/>
        </w:rPr>
        <w:t>(RATIONALE)</w:t>
      </w:r>
    </w:p>
    <w:p w14:paraId="7486D832" w14:textId="77777777" w:rsidR="00D4198E" w:rsidRPr="00D4198E" w:rsidRDefault="00D4198E" w:rsidP="00D4198E">
      <w:pPr>
        <w:pStyle w:val="MText"/>
        <w:rPr>
          <w:lang w:val="es-MX"/>
        </w:rPr>
      </w:pPr>
      <w:r w:rsidRPr="00D4198E">
        <w:rPr>
          <w:lang w:val="es-MX"/>
        </w:rPr>
        <w:t xml:space="preserve">Si bien la meta 16.4 tiene por objeto reducir significativamente los flujos ilícitos de armas, medir directamente este tipo de flujos es extremadamente difícil debido al carácter clandestino del tráfico ilícito de armas. Por lo tanto, el indicador no tiene por objeto medir estos flujos, sino la eficacia con que la comunidad internacional combate el fenómeno del tráfico ilícito de armas. </w:t>
      </w:r>
    </w:p>
    <w:p w14:paraId="7420DF5C" w14:textId="77777777" w:rsidR="00D4198E" w:rsidRPr="00D4198E" w:rsidRDefault="00D4198E" w:rsidP="00D4198E">
      <w:pPr>
        <w:pStyle w:val="MText"/>
        <w:rPr>
          <w:lang w:val="es-MX"/>
        </w:rPr>
      </w:pPr>
    </w:p>
    <w:p w14:paraId="2C25CD86" w14:textId="77777777" w:rsidR="00D4198E" w:rsidRPr="00D4198E" w:rsidRDefault="00D4198E" w:rsidP="00D4198E">
      <w:pPr>
        <w:pStyle w:val="MText"/>
        <w:rPr>
          <w:lang w:val="es-MX"/>
        </w:rPr>
      </w:pPr>
      <w:r w:rsidRPr="00D4198E">
        <w:rPr>
          <w:lang w:val="es-MX"/>
        </w:rPr>
        <w:t>Además del indicador 16.4.2 definido en el presente documento, otros indicadores no oficiales pueden ser útiles para interpretar los valores comunicados para el objetivo 16.4. En particular, se recopila información sobre el número de solicitudes de localización internacionales y nacionales formuladas y respondidas, y el número total de armas incautadas, encontradas y entregadas, según estén o no marcadas de forma única, y el número total de armas que han sido marcadas, registradas o destruidas. Además, se dispone de datos sobre el número de personas en contacto con la policía, procesadas y condenadas en relación con el tráfico ilícito de armas. Todos estos indicadores podrían ayudar a completar el panorama sobre el alcance de las actividades de aplicación de la ley a nivel nacional para combatir el tráfico ilícito de armas.</w:t>
      </w:r>
    </w:p>
    <w:p w14:paraId="172F4A08" w14:textId="77777777" w:rsidR="000A2A31" w:rsidRPr="00D4198E" w:rsidRDefault="000A2A31" w:rsidP="00576CFA">
      <w:pPr>
        <w:pStyle w:val="MText"/>
        <w:rPr>
          <w:lang w:val="es-MX"/>
        </w:rPr>
      </w:pPr>
    </w:p>
    <w:p w14:paraId="2529B069" w14:textId="1583E3BC" w:rsidR="00E1050F" w:rsidRPr="00B370F4" w:rsidRDefault="00E1050F" w:rsidP="00F719A8">
      <w:pPr>
        <w:pStyle w:val="MHeader2"/>
        <w:rPr>
          <w:lang w:val="es-MX"/>
        </w:rPr>
      </w:pPr>
      <w:r w:rsidRPr="00B370F4">
        <w:rPr>
          <w:lang w:val="es-MX"/>
        </w:rPr>
        <w:t xml:space="preserve">4.b. </w:t>
      </w:r>
      <w:bookmarkStart w:id="35" w:name="_Hlk196759856"/>
      <w:r w:rsidR="00B370F4" w:rsidRPr="0063163D">
        <w:rPr>
          <w:lang w:val="es-MX"/>
        </w:rPr>
        <w:t>Comentarios y limitaciones</w:t>
      </w:r>
      <w:bookmarkEnd w:id="35"/>
      <w:r w:rsidR="00B370F4" w:rsidRPr="0063163D">
        <w:rPr>
          <w:lang w:val="es-MX"/>
        </w:rPr>
        <w:t xml:space="preserve"> </w:t>
      </w:r>
      <w:r w:rsidR="00F27E26" w:rsidRPr="00B370F4">
        <w:rPr>
          <w:color w:val="B4B4B4"/>
          <w:sz w:val="20"/>
          <w:lang w:val="es-MX"/>
        </w:rPr>
        <w:t>(R</w:t>
      </w:r>
      <w:r w:rsidR="00032608" w:rsidRPr="00B370F4">
        <w:rPr>
          <w:color w:val="B4B4B4"/>
          <w:sz w:val="20"/>
          <w:lang w:val="es-MX"/>
        </w:rPr>
        <w:t>EC</w:t>
      </w:r>
      <w:r w:rsidR="00F27E26" w:rsidRPr="00B370F4">
        <w:rPr>
          <w:color w:val="B4B4B4"/>
          <w:sz w:val="20"/>
          <w:lang w:val="es-MX"/>
        </w:rPr>
        <w:t>_</w:t>
      </w:r>
      <w:r w:rsidR="00032608" w:rsidRPr="00B370F4">
        <w:rPr>
          <w:color w:val="B4B4B4"/>
          <w:sz w:val="20"/>
          <w:lang w:val="es-MX"/>
        </w:rPr>
        <w:t>US</w:t>
      </w:r>
      <w:r w:rsidR="00F27E26" w:rsidRPr="00B370F4">
        <w:rPr>
          <w:color w:val="B4B4B4"/>
          <w:sz w:val="20"/>
          <w:lang w:val="es-MX"/>
        </w:rPr>
        <w:t>E</w:t>
      </w:r>
      <w:r w:rsidR="00032608" w:rsidRPr="00B370F4">
        <w:rPr>
          <w:color w:val="B4B4B4"/>
          <w:sz w:val="20"/>
          <w:lang w:val="es-MX"/>
        </w:rPr>
        <w:t>_LIM)</w:t>
      </w:r>
    </w:p>
    <w:p w14:paraId="7253D93C" w14:textId="77777777" w:rsidR="002F18D4" w:rsidRPr="002F18D4" w:rsidRDefault="002F18D4" w:rsidP="002F18D4">
      <w:pPr>
        <w:pStyle w:val="MText"/>
        <w:rPr>
          <w:lang w:val="es-MX"/>
        </w:rPr>
      </w:pPr>
      <w:r w:rsidRPr="002F18D4">
        <w:rPr>
          <w:lang w:val="es-MX"/>
        </w:rPr>
        <w:t>Existen ciertas limitaciones en la metodología utilizada para calcular el indicador 16.4.2:</w:t>
      </w:r>
    </w:p>
    <w:p w14:paraId="15C1D3D4" w14:textId="77777777" w:rsidR="002F18D4" w:rsidRPr="002F18D4" w:rsidRDefault="002F18D4" w:rsidP="002F18D4">
      <w:pPr>
        <w:pStyle w:val="MText"/>
        <w:ind w:left="426"/>
        <w:rPr>
          <w:lang w:val="es-MX"/>
        </w:rPr>
      </w:pPr>
      <w:r w:rsidRPr="002F18D4">
        <w:rPr>
          <w:lang w:val="es-MX"/>
        </w:rPr>
        <w:t>- La información sobre las circunstancias ilícitas de las armas que no son identificables de forma única, entre las que se incluyen las armas de fuego fabricadas ilícitamente y las armas de fuego con marcas borradas o alteradas, es escasa, y estas armas son muy difíciles de rastrear. Por lo tanto, la información sobre el establecimiento del origen ilícito de estas armas se excluye del cálculo, y el indicador se centra en las armas que son potencialmente rastreables (es decir, identificables de forma única mediante marcas o cuyo estado con respecto a las marcas se desconoce).</w:t>
      </w:r>
    </w:p>
    <w:p w14:paraId="47E81766" w14:textId="77777777" w:rsidR="002F18D4" w:rsidRPr="002F18D4" w:rsidRDefault="002F18D4" w:rsidP="002F18D4">
      <w:pPr>
        <w:pStyle w:val="MText"/>
        <w:ind w:left="426"/>
        <w:rPr>
          <w:lang w:val="es-MX"/>
        </w:rPr>
      </w:pPr>
      <w:r w:rsidRPr="002F18D4">
        <w:rPr>
          <w:lang w:val="es-MX"/>
        </w:rPr>
        <w:t>- Los valores del indicador 16.4.2 pueden verse afectados por el hecho de que el país tenga una proporción significativa de armas incautadas que sean rastreables, lo que suele ser consecuencia del contexto del tráfico ilícito de armas en el país y no está relacionado con sus esfuerzos en materia de aplicación de la ley.</w:t>
      </w:r>
    </w:p>
    <w:p w14:paraId="2DD6846A" w14:textId="77777777" w:rsidR="002F18D4" w:rsidRPr="002F18D4" w:rsidRDefault="002F18D4" w:rsidP="002F18D4">
      <w:pPr>
        <w:pStyle w:val="MText"/>
        <w:ind w:left="426"/>
        <w:rPr>
          <w:lang w:val="es-MX"/>
        </w:rPr>
      </w:pPr>
      <w:r w:rsidRPr="002F18D4">
        <w:rPr>
          <w:lang w:val="es-MX"/>
        </w:rPr>
        <w:t>- El proceso de rastreo de armas de fuego puede ser notablemente largo, especialmente si se trata de varias solicitudes. Por lo tanto, la información sobre los resultados del rastreo proporcionada en el cuestionario para el año de referencia puede ser incompleta. Si bien el hecho de que se pida a los países que revisen las cifras comunicadas durante el ciclo de recolección de datos anterior puede corregir parcialmente esta situación, es posible que siga existiendo un sesgo en el cálculo.</w:t>
      </w:r>
    </w:p>
    <w:p w14:paraId="19A2A09D" w14:textId="77777777" w:rsidR="002F18D4" w:rsidRPr="002F18D4" w:rsidRDefault="002F18D4" w:rsidP="002F18D4">
      <w:pPr>
        <w:pStyle w:val="MText"/>
        <w:ind w:left="426"/>
        <w:rPr>
          <w:lang w:val="es-MX"/>
        </w:rPr>
      </w:pPr>
      <w:r w:rsidRPr="002F18D4">
        <w:rPr>
          <w:lang w:val="es-MX"/>
        </w:rPr>
        <w:t>Debido a la volatilidad interanual de las estimaciones, los datos se publican como un promedio móvil de dos años para aumentar su solidez.</w:t>
      </w:r>
    </w:p>
    <w:p w14:paraId="398C00AE" w14:textId="77777777" w:rsidR="00EC2915" w:rsidRPr="002F18D4" w:rsidRDefault="00EC2915" w:rsidP="00576CFA">
      <w:pPr>
        <w:pStyle w:val="MText"/>
        <w:rPr>
          <w:lang w:val="es-MX"/>
        </w:rPr>
      </w:pPr>
    </w:p>
    <w:p w14:paraId="79EEEE38" w14:textId="7CCBB588" w:rsidR="00E1050F" w:rsidRPr="00317C44" w:rsidRDefault="00E1050F" w:rsidP="00F719A8">
      <w:pPr>
        <w:pStyle w:val="MHeader2"/>
        <w:rPr>
          <w:lang w:val="pt-BR"/>
        </w:rPr>
      </w:pPr>
      <w:r w:rsidRPr="00317C44">
        <w:rPr>
          <w:lang w:val="pt-BR"/>
        </w:rPr>
        <w:t xml:space="preserve">4.c. </w:t>
      </w:r>
      <w:bookmarkStart w:id="36" w:name="_Hlk196759866"/>
      <w:r w:rsidR="00B370F4" w:rsidRPr="00317C44">
        <w:rPr>
          <w:lang w:val="pt-BR"/>
        </w:rPr>
        <w:t>Método de cálculo</w:t>
      </w:r>
      <w:bookmarkEnd w:id="36"/>
      <w:r w:rsidR="00B370F4" w:rsidRPr="00317C44">
        <w:rPr>
          <w:lang w:val="pt-BR"/>
        </w:rPr>
        <w:t xml:space="preserve"> </w:t>
      </w:r>
      <w:r w:rsidRPr="00317C44">
        <w:rPr>
          <w:color w:val="B4B4B4"/>
          <w:sz w:val="20"/>
          <w:lang w:val="pt-BR"/>
        </w:rPr>
        <w:t>(DATA_COMP)</w:t>
      </w:r>
    </w:p>
    <w:p w14:paraId="52831188" w14:textId="77777777" w:rsidR="00CE1646" w:rsidRPr="00CE1646" w:rsidRDefault="00CE1646" w:rsidP="00CE1646">
      <w:pPr>
        <w:pStyle w:val="MText"/>
        <w:rPr>
          <w:lang w:val="es-MX"/>
        </w:rPr>
      </w:pPr>
      <w:r w:rsidRPr="00CE1646">
        <w:rPr>
          <w:lang w:val="es-MX"/>
        </w:rPr>
        <w:lastRenderedPageBreak/>
        <w:t>El indicador se calcula como una proporción y puede computarse por separado para cada una de las armas incautadas, encontradas y entregadas, así como para las tres categorías en conjunto.</w:t>
      </w:r>
    </w:p>
    <w:p w14:paraId="0944768F" w14:textId="77777777" w:rsidR="00CE1646" w:rsidRPr="00CE1646" w:rsidRDefault="00CE1646" w:rsidP="00CE1646">
      <w:pPr>
        <w:pStyle w:val="MText"/>
        <w:rPr>
          <w:lang w:val="es-MX"/>
        </w:rPr>
      </w:pPr>
    </w:p>
    <w:p w14:paraId="228511DC" w14:textId="77777777" w:rsidR="00CE1646" w:rsidRPr="00CE1646" w:rsidRDefault="00CE1646" w:rsidP="00CE1646">
      <w:pPr>
        <w:pStyle w:val="MText"/>
        <w:rPr>
          <w:lang w:val="es-MX"/>
        </w:rPr>
      </w:pPr>
      <w:r w:rsidRPr="00CE1646">
        <w:rPr>
          <w:lang w:val="es-MX"/>
        </w:rPr>
        <w:t>El denominador de la proporción es el número total de armas incautadas, encontradas y entregadas que son potencialmente rastreables (es decir, identificables de forma única mediante marcas o cuyo estado con respecto a las marcas se desconoce).</w:t>
      </w:r>
    </w:p>
    <w:p w14:paraId="660AEA74" w14:textId="77777777" w:rsidR="00CE1646" w:rsidRPr="00CE1646" w:rsidRDefault="00CE1646" w:rsidP="00CE1646">
      <w:pPr>
        <w:pStyle w:val="MText"/>
        <w:rPr>
          <w:lang w:val="es-MX"/>
        </w:rPr>
      </w:pPr>
      <w:r w:rsidRPr="00CE1646">
        <w:rPr>
          <w:lang w:val="es-MX"/>
        </w:rPr>
        <w:t>El numerador incluye todas aquellas armas para las que se ha establecido o identificado el punto de desviación, ya sea mediante rastreo o por una autoridad competente (por ejemplo, a través de información de inteligencia).</w:t>
      </w:r>
    </w:p>
    <w:p w14:paraId="114B4695" w14:textId="20E1B3AE" w:rsidR="00EE1BBF" w:rsidRPr="00CE1646" w:rsidRDefault="00EE1BBF" w:rsidP="00754FCE">
      <w:pPr>
        <w:pStyle w:val="MText"/>
        <w:rPr>
          <w:lang w:val="es-MX"/>
        </w:rPr>
      </w:pPr>
    </w:p>
    <w:p w14:paraId="0DB6E2AC" w14:textId="45D84CD5" w:rsidR="00EE1BBF" w:rsidRPr="00092730" w:rsidRDefault="00EE1BBF" w:rsidP="00BB1EEB">
      <w:pPr>
        <w:pStyle w:val="MText"/>
        <w:ind w:right="-46"/>
        <w:rPr>
          <w:lang w:val="es-MX"/>
        </w:rPr>
      </w:pPr>
      <m:oMathPara>
        <m:oMath>
          <m:r>
            <w:rPr>
              <w:rFonts w:ascii="Cambria Math" w:hAnsi="Cambria Math"/>
            </w:rPr>
            <m:t>SDG</m:t>
          </m:r>
          <m:r>
            <m:rPr>
              <m:sty m:val="p"/>
            </m:rPr>
            <w:rPr>
              <w:rFonts w:ascii="Cambria Math" w:hAnsi="Cambria Math"/>
              <w:lang w:val="es-MX"/>
            </w:rPr>
            <m:t xml:space="preserve"> 16.4.=</m:t>
          </m:r>
          <m:f>
            <m:fPr>
              <m:ctrlPr>
                <w:rPr>
                  <w:rFonts w:ascii="Cambria Math" w:hAnsi="Cambria Math"/>
                </w:rPr>
              </m:ctrlPr>
            </m:fPr>
            <m:num>
              <m:r>
                <m:rPr>
                  <m:nor/>
                </m:rPr>
                <w:rPr>
                  <w:rFonts w:ascii="Cambria Math"/>
                  <w:lang w:val="es-MX"/>
                </w:rPr>
                <m:t>N</m:t>
              </m:r>
              <m:r>
                <m:rPr>
                  <m:nor/>
                </m:rPr>
                <w:rPr>
                  <w:rFonts w:ascii="Cambria Math"/>
                  <w:lang w:val="es-MX"/>
                </w:rPr>
                <m:t>ú</m:t>
              </m:r>
              <m:r>
                <m:rPr>
                  <m:nor/>
                </m:rPr>
                <w:rPr>
                  <w:rFonts w:ascii="Cambria Math"/>
                  <w:lang w:val="es-MX"/>
                </w:rPr>
                <m:t>mero de armas cuyo origen o contexto il</m:t>
              </m:r>
              <m:r>
                <m:rPr>
                  <m:nor/>
                </m:rPr>
                <w:rPr>
                  <w:rFonts w:ascii="Cambria Math"/>
                  <w:lang w:val="es-MX"/>
                </w:rPr>
                <m:t>í</m:t>
              </m:r>
              <m:r>
                <m:rPr>
                  <m:nor/>
                </m:rPr>
                <w:rPr>
                  <w:rFonts w:ascii="Cambria Math"/>
                  <w:lang w:val="es-MX"/>
                </w:rPr>
                <m:t>cito se ha establecido o idenificado</m:t>
              </m:r>
              <m:r>
                <m:rPr>
                  <m:nor/>
                </m:rPr>
                <w:rPr>
                  <w:lang w:val="es-MX"/>
                </w:rPr>
                <m:t xml:space="preserve"> (A + B + C)</m:t>
              </m:r>
            </m:num>
            <m:den>
              <m:r>
                <m:rPr>
                  <m:nor/>
                </m:rPr>
                <w:rPr>
                  <w:rFonts w:ascii="Cambria Math"/>
                  <w:lang w:val="es-MX"/>
                </w:rPr>
                <m:t>N</m:t>
              </m:r>
              <m:r>
                <m:rPr>
                  <m:nor/>
                </m:rPr>
                <w:rPr>
                  <w:rFonts w:ascii="Cambria Math"/>
                  <w:lang w:val="es-MX"/>
                </w:rPr>
                <m:t>ú</m:t>
              </m:r>
              <m:r>
                <m:rPr>
                  <m:nor/>
                </m:rPr>
                <w:rPr>
                  <w:rFonts w:ascii="Cambria Math"/>
                  <w:lang w:val="es-MX"/>
                </w:rPr>
                <m:t>mero total de armas icautadas, encontradas o entregadas</m:t>
              </m:r>
              <m:r>
                <m:rPr>
                  <m:nor/>
                </m:rPr>
                <w:rPr>
                  <w:lang w:val="es-MX"/>
                </w:rPr>
                <m:t xml:space="preserve"> (A + B + C + </m:t>
              </m:r>
              <m:r>
                <m:rPr>
                  <m:nor/>
                </m:rPr>
                <w:rPr>
                  <w:rFonts w:ascii="Cambria Math"/>
                  <w:lang w:val="es-MX"/>
                </w:rPr>
                <m:t xml:space="preserve">D + </m:t>
              </m:r>
              <m:r>
                <m:rPr>
                  <m:nor/>
                </m:rPr>
                <w:rPr>
                  <w:lang w:val="es-MX"/>
                </w:rPr>
                <m:t>E + F + G)</m:t>
              </m:r>
            </m:den>
          </m:f>
        </m:oMath>
      </m:oMathPara>
    </w:p>
    <w:p w14:paraId="42D95356" w14:textId="77777777" w:rsidR="00EE1BBF" w:rsidRPr="00092730" w:rsidRDefault="00EE1BBF" w:rsidP="00EE1BBF">
      <w:pPr>
        <w:pStyle w:val="MText"/>
        <w:rPr>
          <w:lang w:val="es-MX"/>
        </w:rPr>
      </w:pPr>
    </w:p>
    <w:p w14:paraId="39507DD5" w14:textId="77777777" w:rsidR="005C3B1F" w:rsidRPr="005C3B1F" w:rsidRDefault="005C3B1F" w:rsidP="005C3B1F">
      <w:pPr>
        <w:pStyle w:val="MText"/>
        <w:rPr>
          <w:lang w:val="es-MX"/>
        </w:rPr>
      </w:pPr>
      <w:r w:rsidRPr="005C3B1F">
        <w:rPr>
          <w:b/>
          <w:bCs/>
          <w:lang w:val="es-MX"/>
        </w:rPr>
        <w:t xml:space="preserve">A: </w:t>
      </w:r>
      <w:r w:rsidRPr="005C3B1F">
        <w:rPr>
          <w:lang w:val="es-MX"/>
        </w:rPr>
        <w:t xml:space="preserve">Arma incautada/encontrada/entregada por su propietario </w:t>
      </w:r>
      <w:r w:rsidRPr="005C3B1F">
        <w:rPr>
          <w:u w:val="single"/>
          <w:lang w:val="es-MX"/>
        </w:rPr>
        <w:t>ilegítimo</w:t>
      </w:r>
      <w:r w:rsidRPr="005C3B1F">
        <w:rPr>
          <w:lang w:val="es-MX"/>
        </w:rPr>
        <w:t xml:space="preserve"> y arma encontrada en el registro </w:t>
      </w:r>
      <w:r w:rsidRPr="005C3B1F">
        <w:rPr>
          <w:u w:val="single"/>
          <w:lang w:val="es-MX"/>
        </w:rPr>
        <w:t>nacional</w:t>
      </w:r>
      <w:r w:rsidRPr="005C3B1F">
        <w:rPr>
          <w:lang w:val="es-MX"/>
        </w:rPr>
        <w:t xml:space="preserve"> (por ejemplo, perdida o robada) (rastreo nacional)</w:t>
      </w:r>
    </w:p>
    <w:p w14:paraId="5FF82048" w14:textId="77777777" w:rsidR="005C3B1F" w:rsidRPr="005C3B1F" w:rsidRDefault="005C3B1F" w:rsidP="005C3B1F">
      <w:pPr>
        <w:pStyle w:val="MText"/>
        <w:rPr>
          <w:lang w:val="es-MX"/>
        </w:rPr>
      </w:pPr>
      <w:r w:rsidRPr="005C3B1F">
        <w:rPr>
          <w:b/>
          <w:bCs/>
          <w:lang w:val="es-MX"/>
        </w:rPr>
        <w:t xml:space="preserve">B: </w:t>
      </w:r>
      <w:r w:rsidRPr="005C3B1F">
        <w:rPr>
          <w:lang w:val="es-MX"/>
        </w:rPr>
        <w:t xml:space="preserve">Punto de desviación del arma (último registro legal) </w:t>
      </w:r>
      <w:r w:rsidRPr="005C3B1F">
        <w:rPr>
          <w:u w:val="single"/>
          <w:lang w:val="es-MX"/>
        </w:rPr>
        <w:t>identificado</w:t>
      </w:r>
      <w:r w:rsidRPr="005C3B1F">
        <w:rPr>
          <w:lang w:val="es-MX"/>
        </w:rPr>
        <w:t xml:space="preserve"> mediante rastreo y arma encontrada en un registro </w:t>
      </w:r>
      <w:r w:rsidRPr="005C3B1F">
        <w:rPr>
          <w:u w:val="single"/>
          <w:lang w:val="es-MX"/>
        </w:rPr>
        <w:t>extranjero</w:t>
      </w:r>
      <w:r w:rsidRPr="005C3B1F">
        <w:rPr>
          <w:lang w:val="es-MX"/>
        </w:rPr>
        <w:t xml:space="preserve"> (rastreo internacional)</w:t>
      </w:r>
    </w:p>
    <w:p w14:paraId="4CFB4412" w14:textId="77777777" w:rsidR="005C3B1F" w:rsidRPr="005C3B1F" w:rsidRDefault="005C3B1F" w:rsidP="005C3B1F">
      <w:pPr>
        <w:pStyle w:val="MText"/>
        <w:rPr>
          <w:lang w:val="es-MX"/>
        </w:rPr>
      </w:pPr>
      <w:r w:rsidRPr="005C3B1F">
        <w:rPr>
          <w:b/>
          <w:bCs/>
          <w:lang w:val="es-MX"/>
        </w:rPr>
        <w:t xml:space="preserve">C: </w:t>
      </w:r>
      <w:r w:rsidRPr="005C3B1F">
        <w:rPr>
          <w:lang w:val="es-MX"/>
        </w:rPr>
        <w:t>Punto de desviación establecido de otro modo por una autoridad competente</w:t>
      </w:r>
    </w:p>
    <w:p w14:paraId="5E6F3F2D" w14:textId="77777777" w:rsidR="005C3B1F" w:rsidRPr="005C3B1F" w:rsidRDefault="005C3B1F" w:rsidP="005C3B1F">
      <w:pPr>
        <w:pStyle w:val="MText"/>
        <w:rPr>
          <w:b/>
          <w:bCs/>
          <w:lang w:val="es-MX"/>
        </w:rPr>
      </w:pPr>
      <w:r w:rsidRPr="005C3B1F">
        <w:rPr>
          <w:b/>
          <w:bCs/>
          <w:lang w:val="es-MX"/>
        </w:rPr>
        <w:t xml:space="preserve">D: </w:t>
      </w:r>
      <w:r w:rsidRPr="005C3B1F">
        <w:rPr>
          <w:lang w:val="es-MX"/>
        </w:rPr>
        <w:t>Se ha intentado el rastreo, pero no hay información suficiente para identificar el punto de desviación</w:t>
      </w:r>
    </w:p>
    <w:p w14:paraId="6CD79CFA" w14:textId="77777777" w:rsidR="005C3B1F" w:rsidRPr="005C3B1F" w:rsidRDefault="005C3B1F" w:rsidP="005C3B1F">
      <w:pPr>
        <w:pStyle w:val="MText"/>
        <w:rPr>
          <w:b/>
          <w:bCs/>
          <w:lang w:val="es-MX"/>
        </w:rPr>
      </w:pPr>
      <w:r w:rsidRPr="005C3B1F">
        <w:rPr>
          <w:b/>
          <w:bCs/>
          <w:lang w:val="es-MX"/>
        </w:rPr>
        <w:t xml:space="preserve">E: </w:t>
      </w:r>
      <w:r w:rsidRPr="005C3B1F">
        <w:rPr>
          <w:lang w:val="es-MX"/>
        </w:rPr>
        <w:t>Procedimiento de rastreo aún pendiente</w:t>
      </w:r>
    </w:p>
    <w:p w14:paraId="26AE17C9" w14:textId="77777777" w:rsidR="005C3B1F" w:rsidRPr="005C3B1F" w:rsidRDefault="005C3B1F" w:rsidP="005C3B1F">
      <w:pPr>
        <w:pStyle w:val="MText"/>
        <w:rPr>
          <w:b/>
          <w:bCs/>
          <w:lang w:val="es-MX"/>
        </w:rPr>
      </w:pPr>
      <w:r w:rsidRPr="005C3B1F">
        <w:rPr>
          <w:b/>
          <w:bCs/>
          <w:lang w:val="es-MX"/>
        </w:rPr>
        <w:t xml:space="preserve">F: </w:t>
      </w:r>
      <w:r w:rsidRPr="005C3B1F">
        <w:rPr>
          <w:lang w:val="es-MX"/>
        </w:rPr>
        <w:t>No se ha iniciado ningún procedimiento de rastreo</w:t>
      </w:r>
    </w:p>
    <w:p w14:paraId="7FD34252" w14:textId="77777777" w:rsidR="005C3B1F" w:rsidRPr="005C3B1F" w:rsidRDefault="005C3B1F" w:rsidP="005C3B1F">
      <w:pPr>
        <w:pStyle w:val="MText"/>
        <w:rPr>
          <w:lang w:val="es-MX"/>
        </w:rPr>
      </w:pPr>
      <w:r w:rsidRPr="005C3B1F">
        <w:rPr>
          <w:b/>
          <w:bCs/>
          <w:lang w:val="es-MX"/>
        </w:rPr>
        <w:t xml:space="preserve">G: </w:t>
      </w:r>
      <w:r w:rsidRPr="005C3B1F">
        <w:rPr>
          <w:lang w:val="es-MX"/>
        </w:rPr>
        <w:t>Estado desconocido con respecto al marcado</w:t>
      </w:r>
    </w:p>
    <w:p w14:paraId="66A44EDB" w14:textId="77777777" w:rsidR="005C3B1F" w:rsidRPr="005C3B1F" w:rsidRDefault="005C3B1F" w:rsidP="005C3B1F">
      <w:pPr>
        <w:pStyle w:val="MText"/>
        <w:rPr>
          <w:b/>
          <w:bCs/>
          <w:lang w:val="es-MX"/>
        </w:rPr>
      </w:pPr>
    </w:p>
    <w:p w14:paraId="48720631" w14:textId="77777777" w:rsidR="005C3B1F" w:rsidRPr="005C3B1F" w:rsidRDefault="005C3B1F" w:rsidP="005C3B1F">
      <w:pPr>
        <w:pStyle w:val="MText"/>
        <w:rPr>
          <w:lang w:val="es-MX"/>
        </w:rPr>
      </w:pPr>
      <w:r w:rsidRPr="005C3B1F">
        <w:rPr>
          <w:lang w:val="es-MX"/>
        </w:rPr>
        <w:t xml:space="preserve">Los datos se publican como media móvil de dos años para aumentar la solidez. </w:t>
      </w:r>
    </w:p>
    <w:p w14:paraId="0E85211D" w14:textId="6BFB5991" w:rsidR="00A818A8" w:rsidRPr="005C3B1F" w:rsidRDefault="00A818A8" w:rsidP="003F3BE4">
      <w:pPr>
        <w:pStyle w:val="MText"/>
        <w:rPr>
          <w:lang w:val="es-MX"/>
        </w:rPr>
      </w:pPr>
    </w:p>
    <w:p w14:paraId="514CE3C0" w14:textId="70657CBC" w:rsidR="00E1050F" w:rsidRPr="00317C44" w:rsidRDefault="00576CFA" w:rsidP="00F719A8">
      <w:pPr>
        <w:pStyle w:val="MHeader2"/>
        <w:rPr>
          <w:lang w:val="es-MX"/>
        </w:rPr>
      </w:pPr>
      <w:r w:rsidRPr="00317C44">
        <w:rPr>
          <w:lang w:val="es-MX"/>
        </w:rPr>
        <w:t xml:space="preserve">4.d. </w:t>
      </w:r>
      <w:bookmarkStart w:id="37" w:name="_Hlk196759875"/>
      <w:r w:rsidR="00B370F4" w:rsidRPr="00317C44">
        <w:rPr>
          <w:lang w:val="es-MX"/>
        </w:rPr>
        <w:t>Validación</w:t>
      </w:r>
      <w:bookmarkEnd w:id="37"/>
      <w:r w:rsidRPr="00317C44">
        <w:rPr>
          <w:lang w:val="es-MX"/>
        </w:rPr>
        <w:t xml:space="preserve"> </w:t>
      </w:r>
      <w:r w:rsidRPr="00317C44">
        <w:rPr>
          <w:color w:val="B4B4B4"/>
          <w:sz w:val="20"/>
          <w:lang w:val="es-MX"/>
        </w:rPr>
        <w:t>(DATA_VALIDATION)</w:t>
      </w:r>
    </w:p>
    <w:p w14:paraId="51CE51F5" w14:textId="77777777" w:rsidR="00206A92" w:rsidRPr="00206A92" w:rsidRDefault="00206A92" w:rsidP="00206A92">
      <w:pPr>
        <w:pStyle w:val="MText"/>
        <w:rPr>
          <w:lang w:val="es-MX"/>
        </w:rPr>
      </w:pPr>
      <w:r w:rsidRPr="00206A92">
        <w:rPr>
          <w:lang w:val="es-MX"/>
        </w:rPr>
        <w:t>Cualquier discrepancia en un conjunto de datos de un país específico se verificará mediante correspondencia de seguimiento con las autoridades nacionales del país. Los datos del indicador se comparten con los países para que los examinen antes de presentarlos a la División de Estadística de las Naciones Unidas, lo que incluye tanto el indicador compilado como los datos complementarios.</w:t>
      </w:r>
    </w:p>
    <w:p w14:paraId="0025F830" w14:textId="732B1165" w:rsidR="00F719A8" w:rsidRDefault="00206A92" w:rsidP="00206A92">
      <w:pPr>
        <w:pStyle w:val="MText"/>
        <w:rPr>
          <w:lang w:val="es-MX"/>
        </w:rPr>
      </w:pPr>
      <w:r w:rsidRPr="00206A92">
        <w:rPr>
          <w:lang w:val="es-MX"/>
        </w:rPr>
        <w:t>La UNODC y la UNODA son responsables de llevar a cabo los procesos de validación de los datos de sus respectivos conjuntos de datos y de la verificación con los Estados Miembros.</w:t>
      </w:r>
    </w:p>
    <w:p w14:paraId="42F21CC2" w14:textId="77777777" w:rsidR="00206A92" w:rsidRPr="00206A92" w:rsidRDefault="00206A92" w:rsidP="00206A92">
      <w:pPr>
        <w:pStyle w:val="MText"/>
        <w:rPr>
          <w:lang w:val="es-MX"/>
        </w:rPr>
      </w:pPr>
    </w:p>
    <w:p w14:paraId="2CF2A343" w14:textId="48A92C51" w:rsidR="00E1050F" w:rsidRPr="00317C44" w:rsidRDefault="00E1050F" w:rsidP="00F719A8">
      <w:pPr>
        <w:pStyle w:val="MHeader2"/>
        <w:rPr>
          <w:lang w:val="pt-BR"/>
        </w:rPr>
      </w:pPr>
      <w:r w:rsidRPr="00317C44">
        <w:rPr>
          <w:lang w:val="pt-BR"/>
        </w:rPr>
        <w:t xml:space="preserve">4.e. </w:t>
      </w:r>
      <w:bookmarkStart w:id="38" w:name="_Hlk196759883"/>
      <w:r w:rsidR="00B370F4" w:rsidRPr="00317C44">
        <w:rPr>
          <w:lang w:val="pt-BR"/>
        </w:rPr>
        <w:t>Ajustes</w:t>
      </w:r>
      <w:bookmarkEnd w:id="38"/>
      <w:r w:rsidR="00B370F4" w:rsidRPr="00317C44">
        <w:rPr>
          <w:color w:val="B4B4B4"/>
          <w:sz w:val="20"/>
          <w:lang w:val="pt-BR"/>
        </w:rPr>
        <w:t xml:space="preserve"> </w:t>
      </w:r>
      <w:r w:rsidRPr="00317C44">
        <w:rPr>
          <w:color w:val="B4B4B4"/>
          <w:sz w:val="20"/>
          <w:lang w:val="pt-BR"/>
        </w:rPr>
        <w:t>(ADJUSTMENT)</w:t>
      </w:r>
    </w:p>
    <w:p w14:paraId="7FBAEBBA" w14:textId="21B6F28C" w:rsidR="00EC2915" w:rsidRPr="00317C44" w:rsidRDefault="00206A92" w:rsidP="00576CFA">
      <w:pPr>
        <w:pStyle w:val="MText"/>
        <w:rPr>
          <w:lang w:val="pt-BR"/>
        </w:rPr>
      </w:pPr>
      <w:r w:rsidRPr="00317C44">
        <w:rPr>
          <w:lang w:val="pt-BR"/>
        </w:rPr>
        <w:t>No aplica.</w:t>
      </w:r>
    </w:p>
    <w:p w14:paraId="69E150CA" w14:textId="01AE157A" w:rsidR="76D6DEE5" w:rsidRPr="00317C44" w:rsidRDefault="76D6DEE5" w:rsidP="76D6DEE5">
      <w:pPr>
        <w:pStyle w:val="MText"/>
        <w:rPr>
          <w:lang w:val="pt-BR"/>
        </w:rPr>
      </w:pPr>
    </w:p>
    <w:p w14:paraId="67043C18" w14:textId="48D6F736" w:rsidR="00D51E7C" w:rsidRPr="00B370F4" w:rsidRDefault="00576CFA" w:rsidP="00754FCE">
      <w:pPr>
        <w:pStyle w:val="MHeader2"/>
        <w:rPr>
          <w:lang w:val="es-MX"/>
        </w:rPr>
      </w:pPr>
      <w:r w:rsidRPr="00B370F4">
        <w:rPr>
          <w:lang w:val="es-MX"/>
        </w:rPr>
        <w:t xml:space="preserve">4.f. </w:t>
      </w:r>
      <w:bookmarkStart w:id="39" w:name="_Hlk196759892"/>
      <w:r w:rsidR="00B370F4" w:rsidRPr="0063163D">
        <w:rPr>
          <w:lang w:val="es-MX"/>
        </w:rPr>
        <w:t xml:space="preserve">Tratamiento de los valores faltantes (i) a </w:t>
      </w:r>
      <w:r w:rsidR="00B370F4">
        <w:rPr>
          <w:lang w:val="es-MX"/>
        </w:rPr>
        <w:t>nivel país y</w:t>
      </w:r>
      <w:r w:rsidR="00B370F4" w:rsidRPr="0063163D">
        <w:rPr>
          <w:lang w:val="es-MX"/>
        </w:rPr>
        <w:t xml:space="preserve"> (</w:t>
      </w:r>
      <w:proofErr w:type="spellStart"/>
      <w:r w:rsidR="00B370F4" w:rsidRPr="0063163D">
        <w:rPr>
          <w:lang w:val="es-MX"/>
        </w:rPr>
        <w:t>ii</w:t>
      </w:r>
      <w:proofErr w:type="spellEnd"/>
      <w:r w:rsidR="00B370F4" w:rsidRPr="0063163D">
        <w:rPr>
          <w:lang w:val="es-MX"/>
        </w:rPr>
        <w:t>) a</w:t>
      </w:r>
      <w:r w:rsidR="00B370F4">
        <w:rPr>
          <w:lang w:val="es-MX"/>
        </w:rPr>
        <w:t xml:space="preserve"> nivel regional</w:t>
      </w:r>
      <w:bookmarkEnd w:id="39"/>
      <w:r w:rsidR="00B370F4" w:rsidRPr="0063163D">
        <w:rPr>
          <w:lang w:val="es-MX"/>
        </w:rPr>
        <w:t xml:space="preserve"> </w:t>
      </w:r>
      <w:r w:rsidRPr="00B370F4">
        <w:rPr>
          <w:color w:val="B4B4B4"/>
          <w:sz w:val="20"/>
          <w:lang w:val="es-MX"/>
        </w:rPr>
        <w:t>(IMPUTATION)</w:t>
      </w:r>
    </w:p>
    <w:p w14:paraId="43D9D445" w14:textId="77777777" w:rsidR="00B370F4" w:rsidRPr="00CF122C" w:rsidRDefault="00D51E7C" w:rsidP="00B370F4">
      <w:pPr>
        <w:pStyle w:val="MText"/>
        <w:rPr>
          <w:b/>
          <w:bCs/>
          <w:lang w:val="es-MX"/>
        </w:rPr>
      </w:pPr>
      <w:r w:rsidRPr="00CF122C">
        <w:rPr>
          <w:b/>
          <w:bCs/>
          <w:lang w:val="es-MX"/>
        </w:rPr>
        <w:t>•</w:t>
      </w:r>
      <w:r w:rsidRPr="00CF122C">
        <w:rPr>
          <w:b/>
          <w:bCs/>
          <w:lang w:val="es-MX"/>
        </w:rPr>
        <w:tab/>
      </w:r>
      <w:bookmarkStart w:id="40" w:name="_Hlk196759900"/>
      <w:bookmarkStart w:id="41" w:name="_Hlk196761427"/>
      <w:r w:rsidR="00B370F4" w:rsidRPr="00CF122C">
        <w:rPr>
          <w:b/>
          <w:bCs/>
          <w:lang w:val="es-MX"/>
        </w:rPr>
        <w:t>A nivel país</w:t>
      </w:r>
      <w:bookmarkEnd w:id="40"/>
    </w:p>
    <w:bookmarkEnd w:id="41"/>
    <w:p w14:paraId="4957B3F7" w14:textId="77777777" w:rsidR="00CF122C" w:rsidRPr="00CF122C" w:rsidRDefault="00CF122C" w:rsidP="00CF122C">
      <w:pPr>
        <w:pStyle w:val="MText"/>
        <w:rPr>
          <w:lang w:val="es-MX"/>
        </w:rPr>
      </w:pPr>
      <w:r w:rsidRPr="00CF122C">
        <w:rPr>
          <w:lang w:val="es-MX"/>
        </w:rPr>
        <w:t>El primer paso que se debe seguir cuando faltan datos para elaborar estas estimaciones es consultar a los Estados Miembros y hacer un seguimiento. En particular, la Oficina de las Naciones Unidas contra la Droga y el Delito (UNODC) y la Oficina de Asuntos de Desarme de las Naciones Unidas (UNODA) solicitarán información adicional directamente a los centros de coordinación pertinentes.</w:t>
      </w:r>
    </w:p>
    <w:p w14:paraId="449FD4D6" w14:textId="77777777" w:rsidR="00CF122C" w:rsidRPr="00CF122C" w:rsidRDefault="00CF122C" w:rsidP="00CF122C">
      <w:pPr>
        <w:pStyle w:val="MText"/>
        <w:rPr>
          <w:lang w:val="es-MX"/>
        </w:rPr>
      </w:pPr>
    </w:p>
    <w:p w14:paraId="42B4E1DF" w14:textId="77777777" w:rsidR="00CF122C" w:rsidRPr="00CF122C" w:rsidRDefault="00CF122C" w:rsidP="00CF122C">
      <w:pPr>
        <w:pStyle w:val="MText"/>
        <w:rPr>
          <w:lang w:val="es-MX"/>
        </w:rPr>
      </w:pPr>
      <w:r w:rsidRPr="00CF122C">
        <w:rPr>
          <w:lang w:val="es-MX"/>
        </w:rPr>
        <w:lastRenderedPageBreak/>
        <w:t xml:space="preserve">A falta de respuesta, se consultarán fuentes alternativas para obtener la información que falte. Esta información se compartirá con el Estado miembro para su aprobación. Por último, si no se obtiene información adicional a través de estos dos canales, no se publicará el indicador del país. </w:t>
      </w:r>
    </w:p>
    <w:p w14:paraId="1B6182A5" w14:textId="54983DC5" w:rsidR="00D51E7C" w:rsidRPr="00CF122C" w:rsidRDefault="00D51E7C" w:rsidP="00D51E7C">
      <w:pPr>
        <w:pStyle w:val="MText"/>
        <w:rPr>
          <w:highlight w:val="cyan"/>
          <w:lang w:val="es-MX"/>
        </w:rPr>
      </w:pPr>
    </w:p>
    <w:p w14:paraId="06DDC253" w14:textId="6DA36F99" w:rsidR="00D51E7C" w:rsidRPr="006165D3" w:rsidRDefault="00D51E7C" w:rsidP="00D51E7C">
      <w:pPr>
        <w:pStyle w:val="MText"/>
        <w:rPr>
          <w:b/>
          <w:bCs/>
          <w:lang w:val="es-MX"/>
        </w:rPr>
      </w:pPr>
      <w:r w:rsidRPr="006165D3">
        <w:rPr>
          <w:b/>
          <w:bCs/>
          <w:lang w:val="es-MX"/>
        </w:rPr>
        <w:t>•</w:t>
      </w:r>
      <w:r w:rsidRPr="006165D3">
        <w:rPr>
          <w:b/>
          <w:bCs/>
          <w:lang w:val="es-MX"/>
        </w:rPr>
        <w:tab/>
      </w:r>
      <w:bookmarkStart w:id="42" w:name="_Hlk196761434"/>
      <w:r w:rsidR="00B370F4" w:rsidRPr="009B7554">
        <w:rPr>
          <w:b/>
          <w:bCs/>
          <w:lang w:val="es-MX"/>
        </w:rPr>
        <w:t>A nivel regional y m</w:t>
      </w:r>
      <w:r w:rsidR="00B370F4">
        <w:rPr>
          <w:b/>
          <w:bCs/>
          <w:lang w:val="es-MX"/>
        </w:rPr>
        <w:t>undial</w:t>
      </w:r>
      <w:bookmarkEnd w:id="42"/>
    </w:p>
    <w:p w14:paraId="371E7760" w14:textId="48573A4C" w:rsidR="006165D3" w:rsidRPr="006165D3" w:rsidRDefault="006165D3" w:rsidP="006165D3">
      <w:pPr>
        <w:pStyle w:val="MText"/>
        <w:rPr>
          <w:lang w:val="es-MX"/>
        </w:rPr>
      </w:pPr>
      <w:r w:rsidRPr="006165D3">
        <w:rPr>
          <w:lang w:val="es-MX"/>
        </w:rPr>
        <w:t xml:space="preserve">A fin de calcular los niveles regionales y mundiales, el indicador correspondiente a los Estados Miembros que no se haya publicado tras el tratamiento a nivel nacional se estimará utilizando información procedente de fuentes alternativas o de países similares. La selección de estos </w:t>
      </w:r>
      <w:r>
        <w:rPr>
          <w:lang w:val="es-MX"/>
        </w:rPr>
        <w:t>“</w:t>
      </w:r>
      <w:r w:rsidRPr="006165D3">
        <w:rPr>
          <w:lang w:val="es-MX"/>
        </w:rPr>
        <w:t>países similares</w:t>
      </w:r>
      <w:r>
        <w:rPr>
          <w:lang w:val="es-MX"/>
        </w:rPr>
        <w:t>”</w:t>
      </w:r>
      <w:r w:rsidRPr="006165D3">
        <w:rPr>
          <w:lang w:val="es-MX"/>
        </w:rPr>
        <w:t xml:space="preserve"> se basará en la ubicación geográfica (por ejemplo, promedios regionales o subregionales) o en similitudes estructurales, como la proporción de armas con marcas únicas incautadas o el número total de armas incautadas, encontradas y entregadas per cápita. A medida que se disponga de datos históricos de los países, será posible realizar imputaciones utilizando también los datos del mismo país.</w:t>
      </w:r>
    </w:p>
    <w:p w14:paraId="27033367" w14:textId="77777777" w:rsidR="00EC2915" w:rsidRPr="006165D3" w:rsidRDefault="00EC2915" w:rsidP="00576CFA">
      <w:pPr>
        <w:pStyle w:val="MText"/>
        <w:rPr>
          <w:lang w:val="es-MX"/>
        </w:rPr>
      </w:pPr>
    </w:p>
    <w:p w14:paraId="51FCD280" w14:textId="6468D00C" w:rsidR="00E1050F" w:rsidRPr="00B370F4" w:rsidRDefault="00E1050F" w:rsidP="00F719A8">
      <w:pPr>
        <w:pStyle w:val="MHeader2"/>
        <w:rPr>
          <w:lang w:val="es-MX"/>
        </w:rPr>
      </w:pPr>
      <w:r w:rsidRPr="00B370F4">
        <w:rPr>
          <w:lang w:val="es-MX"/>
        </w:rPr>
        <w:t xml:space="preserve">4.g. </w:t>
      </w:r>
      <w:bookmarkStart w:id="43" w:name="_Hlk196759916"/>
      <w:r w:rsidR="00B370F4" w:rsidRPr="0063163D">
        <w:rPr>
          <w:lang w:val="es-MX"/>
        </w:rPr>
        <w:t>Agregados regionales</w:t>
      </w:r>
      <w:bookmarkEnd w:id="43"/>
      <w:r w:rsidR="00B370F4" w:rsidRPr="0063163D">
        <w:rPr>
          <w:lang w:val="es-MX"/>
        </w:rPr>
        <w:t xml:space="preserve"> </w:t>
      </w:r>
      <w:r w:rsidRPr="00B370F4">
        <w:rPr>
          <w:color w:val="B4B4B4"/>
          <w:sz w:val="20"/>
          <w:lang w:val="es-MX"/>
        </w:rPr>
        <w:t>(REG_AGG)</w:t>
      </w:r>
    </w:p>
    <w:p w14:paraId="01E79676" w14:textId="77777777" w:rsidR="00CD73EC" w:rsidRPr="00CD73EC" w:rsidRDefault="00CD73EC" w:rsidP="00CD73EC">
      <w:pPr>
        <w:pStyle w:val="MText"/>
        <w:rPr>
          <w:lang w:val="es-MX"/>
        </w:rPr>
      </w:pPr>
      <w:r w:rsidRPr="00CD73EC">
        <w:rPr>
          <w:lang w:val="es-MX"/>
        </w:rPr>
        <w:t>Una vez imputados los valores de los indicadores para los países, se obtendrán las estimaciones subregionales, regionales y mundiales sumando por separado los valores del numerador y del denominador de los países de una subregión y región específicas, y calculando la proporción. El valor mundial se calcularía agregando los valores regionales de manera similar.</w:t>
      </w:r>
    </w:p>
    <w:p w14:paraId="2C83E4C4" w14:textId="77777777" w:rsidR="00CD73EC" w:rsidRPr="00CD73EC" w:rsidRDefault="00CD73EC" w:rsidP="00CD73EC">
      <w:pPr>
        <w:pStyle w:val="MText"/>
        <w:rPr>
          <w:lang w:val="es-MX"/>
        </w:rPr>
      </w:pPr>
      <w:r w:rsidRPr="00CD73EC">
        <w:rPr>
          <w:lang w:val="es-MX"/>
        </w:rPr>
        <w:t>Para que las estimaciones regionales y mundiales sean aceptables, deben cumplirse determinados umbrales. Si no se cumplen estos umbrales, las estimaciones no se publicarán.</w:t>
      </w:r>
    </w:p>
    <w:p w14:paraId="2EA010B7" w14:textId="77777777" w:rsidR="00EC2915" w:rsidRPr="00CD73EC" w:rsidRDefault="00EC2915" w:rsidP="00576CFA">
      <w:pPr>
        <w:pStyle w:val="MText"/>
        <w:rPr>
          <w:lang w:val="es-MX"/>
        </w:rPr>
      </w:pPr>
    </w:p>
    <w:p w14:paraId="71213FF2" w14:textId="2DC43E1D" w:rsidR="00E1050F" w:rsidRPr="00B370F4" w:rsidRDefault="00576CFA" w:rsidP="00F719A8">
      <w:pPr>
        <w:pStyle w:val="MHeader2"/>
        <w:rPr>
          <w:lang w:val="es-MX"/>
        </w:rPr>
      </w:pPr>
      <w:r w:rsidRPr="00B370F4">
        <w:rPr>
          <w:lang w:val="es-MX"/>
        </w:rPr>
        <w:t xml:space="preserve">4.h. </w:t>
      </w:r>
      <w:bookmarkStart w:id="44" w:name="_Hlk196759925"/>
      <w:r w:rsidR="00B370F4" w:rsidRPr="0063163D">
        <w:rPr>
          <w:lang w:val="es-MX"/>
        </w:rPr>
        <w:t>Métodos y orientación a disposición de los países pa</w:t>
      </w:r>
      <w:r w:rsidR="00B370F4">
        <w:rPr>
          <w:lang w:val="es-MX"/>
        </w:rPr>
        <w:t>ra la recolección de los datos a nivel nacional</w:t>
      </w:r>
      <w:bookmarkEnd w:id="44"/>
      <w:r w:rsidR="00B370F4" w:rsidRPr="0063163D">
        <w:rPr>
          <w:lang w:val="es-MX"/>
        </w:rPr>
        <w:t xml:space="preserve"> </w:t>
      </w:r>
      <w:r w:rsidRPr="00B370F4">
        <w:rPr>
          <w:color w:val="B4B4B4"/>
          <w:sz w:val="20"/>
          <w:lang w:val="es-MX"/>
        </w:rPr>
        <w:t>(DOC_METHOD)</w:t>
      </w:r>
    </w:p>
    <w:p w14:paraId="1EB58308" w14:textId="62C9FDD7" w:rsidR="00CD73EC" w:rsidRPr="00CD73EC" w:rsidRDefault="00CD73EC" w:rsidP="00CD73EC">
      <w:pPr>
        <w:pStyle w:val="MText"/>
        <w:rPr>
          <w:lang w:val="es-MX"/>
        </w:rPr>
      </w:pPr>
      <w:r w:rsidRPr="00CD73EC">
        <w:rPr>
          <w:lang w:val="es-MX"/>
        </w:rPr>
        <w:t xml:space="preserve">Las directrices para los países sobre la recopilación de estos datos están disponibles en: </w:t>
      </w:r>
    </w:p>
    <w:p w14:paraId="69F584E6" w14:textId="34708B3F" w:rsidR="66574AAD" w:rsidRPr="00317C44" w:rsidRDefault="00F4244B" w:rsidP="002E3B54">
      <w:pPr>
        <w:pStyle w:val="MText"/>
        <w:rPr>
          <w:lang w:val="es-MX"/>
        </w:rPr>
      </w:pPr>
      <w:hyperlink r:id="rId12" w:history="1">
        <w:r w:rsidRPr="00317C44">
          <w:rPr>
            <w:rStyle w:val="Hipervnculo"/>
            <w:lang w:val="es-MX"/>
          </w:rPr>
          <w:t>https://www.unodc.org/unodc/en/data-and-analysis/statistics/crime/iafq.html</w:t>
        </w:r>
      </w:hyperlink>
    </w:p>
    <w:p w14:paraId="1AAED961" w14:textId="61735EEA" w:rsidR="0D7967A5" w:rsidRPr="00317C44" w:rsidRDefault="0D7967A5" w:rsidP="0D7967A5">
      <w:pPr>
        <w:pStyle w:val="MText"/>
        <w:rPr>
          <w:lang w:val="es-MX"/>
        </w:rPr>
      </w:pPr>
    </w:p>
    <w:p w14:paraId="494C36E8" w14:textId="6A3FC093" w:rsidR="00E1050F" w:rsidRPr="00B370F4" w:rsidRDefault="00576CFA" w:rsidP="00F719A8">
      <w:pPr>
        <w:pStyle w:val="MHeader2"/>
        <w:rPr>
          <w:lang w:val="es-MX"/>
        </w:rPr>
      </w:pPr>
      <w:r w:rsidRPr="00B370F4">
        <w:rPr>
          <w:lang w:val="es-MX"/>
        </w:rPr>
        <w:t xml:space="preserve">4.i. </w:t>
      </w:r>
      <w:bookmarkStart w:id="45" w:name="_Hlk196759932"/>
      <w:r w:rsidR="00B370F4" w:rsidRPr="0063163D">
        <w:rPr>
          <w:lang w:val="es-MX"/>
        </w:rPr>
        <w:t>Gestión de calidad</w:t>
      </w:r>
      <w:bookmarkEnd w:id="45"/>
      <w:r w:rsidR="00B370F4" w:rsidRPr="0063163D">
        <w:rPr>
          <w:lang w:val="es-MX"/>
        </w:rPr>
        <w:t xml:space="preserve"> </w:t>
      </w:r>
      <w:r w:rsidRPr="00B370F4">
        <w:rPr>
          <w:color w:val="B4B4B4"/>
          <w:sz w:val="20"/>
          <w:lang w:val="es-MX"/>
        </w:rPr>
        <w:t>(QUALITY_MGMNT)</w:t>
      </w:r>
    </w:p>
    <w:p w14:paraId="356FA7ED" w14:textId="77777777" w:rsidR="00B76B18" w:rsidRPr="00B76B18" w:rsidRDefault="00B76B18" w:rsidP="00B76B18">
      <w:pPr>
        <w:pStyle w:val="MText"/>
        <w:rPr>
          <w:lang w:val="es-MX"/>
        </w:rPr>
      </w:pPr>
      <w:r w:rsidRPr="00B76B18">
        <w:rPr>
          <w:lang w:val="es-MX"/>
        </w:rPr>
        <w:t>La Oficina de las Naciones Unidas contra la Droga y el Delito (UNODC) cuenta con una sección de estadísticas con personal dedicado a apoyar la recolección de datos mediante asistencia técnica, cotejando y verificando los datos recibidos y mejorando continuamente los mecanismos de recolección de datos, incluidas las directrices.</w:t>
      </w:r>
    </w:p>
    <w:p w14:paraId="6391A909" w14:textId="77777777" w:rsidR="002C6363" w:rsidRPr="00B76B18" w:rsidRDefault="002C6363" w:rsidP="00576CFA">
      <w:pPr>
        <w:pStyle w:val="MText"/>
        <w:rPr>
          <w:lang w:val="es-MX"/>
        </w:rPr>
      </w:pPr>
    </w:p>
    <w:p w14:paraId="17B979CA" w14:textId="475243C3" w:rsidR="00E1050F" w:rsidRPr="00B370F4" w:rsidRDefault="00E1050F" w:rsidP="00F719A8">
      <w:pPr>
        <w:pStyle w:val="MHeader2"/>
        <w:rPr>
          <w:lang w:val="es-MX"/>
        </w:rPr>
      </w:pPr>
      <w:r w:rsidRPr="00B370F4">
        <w:rPr>
          <w:lang w:val="es-MX"/>
        </w:rPr>
        <w:t xml:space="preserve">4.j </w:t>
      </w:r>
      <w:bookmarkStart w:id="46" w:name="_Hlk196759938"/>
      <w:r w:rsidR="00B370F4" w:rsidRPr="0063163D">
        <w:rPr>
          <w:lang w:val="es-MX"/>
        </w:rPr>
        <w:t>Aseguramiento de calidad</w:t>
      </w:r>
      <w:bookmarkEnd w:id="46"/>
      <w:r w:rsidR="00B370F4" w:rsidRPr="0063163D">
        <w:rPr>
          <w:lang w:val="es-MX"/>
        </w:rPr>
        <w:t xml:space="preserve"> </w:t>
      </w:r>
      <w:r w:rsidRPr="00B370F4">
        <w:rPr>
          <w:color w:val="B4B4B4"/>
          <w:sz w:val="20"/>
          <w:lang w:val="es-MX"/>
        </w:rPr>
        <w:t>(QUALITY_ASSURE)</w:t>
      </w:r>
    </w:p>
    <w:p w14:paraId="465EA911" w14:textId="1554C3C9" w:rsidR="001E5295" w:rsidRPr="001E5295" w:rsidRDefault="001E5295" w:rsidP="001E5295">
      <w:pPr>
        <w:pStyle w:val="MText"/>
        <w:numPr>
          <w:ilvl w:val="0"/>
          <w:numId w:val="13"/>
        </w:numPr>
        <w:rPr>
          <w:lang w:val="es-MX"/>
        </w:rPr>
      </w:pPr>
      <w:r w:rsidRPr="001E5295">
        <w:rPr>
          <w:lang w:val="es-MX"/>
        </w:rPr>
        <w:t xml:space="preserve">Los datos recibidos de los Estados miembros se someten a un exhaustivo proceso de validación interna. El IAFQ ya cuenta con un procedimiento de validación integrado que permite al encuestado comprobar al instante si los valores comunicados coinciden con los totales correspondientes indicados en otras partes del cuestionario. </w:t>
      </w:r>
    </w:p>
    <w:p w14:paraId="3888DC66" w14:textId="28F3358E" w:rsidR="001E5295" w:rsidRPr="001E5295" w:rsidRDefault="001E5295" w:rsidP="001E5295">
      <w:pPr>
        <w:pStyle w:val="MText"/>
        <w:numPr>
          <w:ilvl w:val="0"/>
          <w:numId w:val="13"/>
        </w:numPr>
        <w:rPr>
          <w:lang w:val="es-MX"/>
        </w:rPr>
      </w:pPr>
      <w:r w:rsidRPr="001E5295">
        <w:rPr>
          <w:lang w:val="es-MX"/>
        </w:rPr>
        <w:t>La validación interna también se realiza automáticamente en el sistema de base de datos interno.</w:t>
      </w:r>
    </w:p>
    <w:p w14:paraId="757C0C1E" w14:textId="45E693A2" w:rsidR="001E5295" w:rsidRPr="001E5295" w:rsidRDefault="001E5295" w:rsidP="001E5295">
      <w:pPr>
        <w:pStyle w:val="MText"/>
        <w:numPr>
          <w:ilvl w:val="0"/>
          <w:numId w:val="13"/>
        </w:numPr>
        <w:rPr>
          <w:lang w:val="es-MX"/>
        </w:rPr>
      </w:pPr>
      <w:r w:rsidRPr="001E5295">
        <w:rPr>
          <w:lang w:val="es-MX"/>
        </w:rPr>
        <w:t>Los datos también se validan externamente comparándolos con otras fuentes disponibles (preferiblemente oficiales).</w:t>
      </w:r>
    </w:p>
    <w:p w14:paraId="32E9DDA6" w14:textId="4558D2F0" w:rsidR="001E5295" w:rsidRPr="001E5295" w:rsidRDefault="001E5295" w:rsidP="001E5295">
      <w:pPr>
        <w:pStyle w:val="MText"/>
        <w:numPr>
          <w:ilvl w:val="0"/>
          <w:numId w:val="13"/>
        </w:numPr>
        <w:rPr>
          <w:lang w:val="es-MX"/>
        </w:rPr>
      </w:pPr>
      <w:r w:rsidRPr="001E5295">
        <w:rPr>
          <w:lang w:val="es-MX"/>
        </w:rPr>
        <w:t xml:space="preserve">Una vez validada la información </w:t>
      </w:r>
      <w:proofErr w:type="spellStart"/>
      <w:r w:rsidRPr="001E5295">
        <w:rPr>
          <w:lang w:val="es-MX"/>
        </w:rPr>
        <w:t>y</w:t>
      </w:r>
      <w:proofErr w:type="spellEnd"/>
      <w:r w:rsidRPr="001E5295">
        <w:rPr>
          <w:lang w:val="es-MX"/>
        </w:rPr>
        <w:t xml:space="preserve"> incorporada la información de fuentes adicionales, se comparte con los Estados miembros para su aprobación. Una vez que los Estados miembros han </w:t>
      </w:r>
      <w:r w:rsidRPr="001E5295">
        <w:rPr>
          <w:lang w:val="es-MX"/>
        </w:rPr>
        <w:lastRenderedPageBreak/>
        <w:t>aprobado los valores correspondientes, los datos están listos para ser publicados y se pueden estimar los totales subregionales, regionales y mundiales.</w:t>
      </w:r>
    </w:p>
    <w:p w14:paraId="03EF3244" w14:textId="77777777" w:rsidR="00EC2915" w:rsidRPr="001E5295" w:rsidRDefault="00EC2915" w:rsidP="00576CFA">
      <w:pPr>
        <w:pStyle w:val="MText"/>
        <w:rPr>
          <w:lang w:val="es-MX"/>
        </w:rPr>
      </w:pPr>
    </w:p>
    <w:p w14:paraId="34ADD322" w14:textId="041C30FF" w:rsidR="00E1050F" w:rsidRPr="00B370F4" w:rsidRDefault="00576CFA" w:rsidP="00F719A8">
      <w:pPr>
        <w:pStyle w:val="MHeader2"/>
        <w:rPr>
          <w:lang w:val="es-MX"/>
        </w:rPr>
      </w:pPr>
      <w:r w:rsidRPr="00B370F4">
        <w:rPr>
          <w:lang w:val="es-MX"/>
        </w:rPr>
        <w:t xml:space="preserve">4.k </w:t>
      </w:r>
      <w:bookmarkStart w:id="47" w:name="_Hlk196759945"/>
      <w:r w:rsidR="00B370F4" w:rsidRPr="0063163D">
        <w:rPr>
          <w:lang w:val="es-MX"/>
        </w:rPr>
        <w:t>Evaluación de calidad</w:t>
      </w:r>
      <w:bookmarkEnd w:id="47"/>
      <w:r w:rsidR="00B370F4" w:rsidRPr="0063163D">
        <w:rPr>
          <w:lang w:val="es-MX"/>
        </w:rPr>
        <w:t xml:space="preserve"> </w:t>
      </w:r>
      <w:r w:rsidRPr="00B370F4">
        <w:rPr>
          <w:color w:val="B4B4B4"/>
          <w:sz w:val="20"/>
          <w:lang w:val="es-MX"/>
        </w:rPr>
        <w:t>(QUALITY_ASSMNT)</w:t>
      </w:r>
    </w:p>
    <w:p w14:paraId="7C53DA3A" w14:textId="77777777" w:rsidR="005C6657" w:rsidRPr="005C6657" w:rsidRDefault="005C6657" w:rsidP="005C6657">
      <w:pPr>
        <w:pStyle w:val="MText"/>
        <w:rPr>
          <w:lang w:val="es-MX"/>
        </w:rPr>
      </w:pPr>
      <w:r w:rsidRPr="005C6657">
        <w:rPr>
          <w:lang w:val="es-MX"/>
        </w:rPr>
        <w:t>No se publicarán estimaciones a nivel nacional cuando no se disponga de información suficiente para el numerador o el denominador.</w:t>
      </w:r>
    </w:p>
    <w:p w14:paraId="4E6E0CB6" w14:textId="70DC4573" w:rsidR="7D56F699" w:rsidRPr="005C6657" w:rsidRDefault="7D56F699" w:rsidP="003967E1">
      <w:pPr>
        <w:pStyle w:val="MText"/>
        <w:rPr>
          <w:lang w:val="es-MX"/>
        </w:rPr>
      </w:pPr>
    </w:p>
    <w:p w14:paraId="4CD8F3EF" w14:textId="0E44BEC7" w:rsidR="00F719A8" w:rsidRPr="00B370F4" w:rsidRDefault="00576CFA" w:rsidP="00754FCE">
      <w:pPr>
        <w:pStyle w:val="MHeader"/>
        <w:spacing w:after="100"/>
        <w:rPr>
          <w:lang w:val="es-MX"/>
        </w:rPr>
      </w:pPr>
      <w:r w:rsidRPr="00B370F4">
        <w:rPr>
          <w:lang w:val="es-MX"/>
        </w:rPr>
        <w:t xml:space="preserve">5. </w:t>
      </w:r>
      <w:bookmarkStart w:id="48" w:name="_Hlk196759953"/>
      <w:r w:rsidR="00B370F4" w:rsidRPr="0063163D">
        <w:rPr>
          <w:lang w:val="es-MX"/>
        </w:rPr>
        <w:t>Disponibilidad y desagregación de datos</w:t>
      </w:r>
      <w:bookmarkEnd w:id="48"/>
      <w:r w:rsidR="00B370F4" w:rsidRPr="0063163D">
        <w:rPr>
          <w:lang w:val="es-MX"/>
        </w:rPr>
        <w:t xml:space="preserve"> </w:t>
      </w:r>
      <w:r w:rsidRPr="00B370F4">
        <w:rPr>
          <w:color w:val="B4B4B4"/>
          <w:sz w:val="20"/>
          <w:lang w:val="es-MX"/>
        </w:rPr>
        <w:t>(COVERAGE)</w:t>
      </w:r>
    </w:p>
    <w:p w14:paraId="0BF940E8" w14:textId="77777777" w:rsidR="00B370F4" w:rsidRPr="005C6657" w:rsidRDefault="00B370F4" w:rsidP="00B370F4">
      <w:pPr>
        <w:pStyle w:val="MText"/>
        <w:rPr>
          <w:b/>
          <w:bCs/>
          <w:lang w:val="es-MX"/>
        </w:rPr>
      </w:pPr>
      <w:bookmarkStart w:id="49" w:name="_Hlk196759958"/>
      <w:r w:rsidRPr="005C6657">
        <w:rPr>
          <w:b/>
          <w:bCs/>
          <w:lang w:val="es-MX"/>
        </w:rPr>
        <w:t>Disponibilidad de datos:</w:t>
      </w:r>
    </w:p>
    <w:bookmarkEnd w:id="49"/>
    <w:p w14:paraId="0EC3D72D" w14:textId="77777777" w:rsidR="005C6657" w:rsidRPr="005C6657" w:rsidRDefault="005C6657" w:rsidP="005C6657">
      <w:pPr>
        <w:pStyle w:val="MText"/>
        <w:rPr>
          <w:lang w:val="es-MX"/>
        </w:rPr>
      </w:pPr>
      <w:r w:rsidRPr="005C6657">
        <w:rPr>
          <w:lang w:val="es-MX"/>
        </w:rPr>
        <w:t xml:space="preserve">La recolección de datos del IAFQ comenzó en 2018 y se espera que los países presenten sus respuestas anualmente entre mayo y julio. Entre 2018 y 2023, 115 Estados Miembros han presentado al menos una vez el IAFQ. De estos, 29 países han proporcionado datos pertinentes para el cálculo del indicador. Con las actividades de creación de capacidad en curso, se espera que este número aumente en el futuro. </w:t>
      </w:r>
    </w:p>
    <w:p w14:paraId="0A229020" w14:textId="77777777" w:rsidR="005C6657" w:rsidRPr="005C6657" w:rsidRDefault="005C6657" w:rsidP="005C6657">
      <w:pPr>
        <w:pStyle w:val="MText"/>
        <w:rPr>
          <w:lang w:val="es-MX"/>
        </w:rPr>
      </w:pPr>
    </w:p>
    <w:p w14:paraId="6AFFC6A2" w14:textId="77777777" w:rsidR="005C6657" w:rsidRPr="005C6657" w:rsidRDefault="005C6657" w:rsidP="005C6657">
      <w:pPr>
        <w:pStyle w:val="MText"/>
        <w:rPr>
          <w:lang w:val="es-MX"/>
        </w:rPr>
      </w:pPr>
      <w:r w:rsidRPr="005C6657">
        <w:rPr>
          <w:lang w:val="es-MX"/>
        </w:rPr>
        <w:t xml:space="preserve">En 2024, 100 Estados han proporcionado información en sus informes nacionales sobre el Programa de Acción, que también se utilizará como información para el cálculo del denominador del indicador 16.4.2 (véase: </w:t>
      </w:r>
      <w:hyperlink r:id="rId13" w:history="1">
        <w:r w:rsidRPr="005C6657">
          <w:rPr>
            <w:rStyle w:val="Hipervnculo"/>
            <w:lang w:val="es-MX"/>
          </w:rPr>
          <w:t>www.smallarms.un-arm.com/sustainable-development-goals</w:t>
        </w:r>
      </w:hyperlink>
      <w:r w:rsidRPr="005C6657">
        <w:rPr>
          <w:lang w:val="es-MX"/>
        </w:rPr>
        <w:t>).</w:t>
      </w:r>
    </w:p>
    <w:p w14:paraId="717418BA" w14:textId="77777777" w:rsidR="005C6657" w:rsidRPr="005C6657" w:rsidRDefault="005C6657" w:rsidP="005C6657">
      <w:pPr>
        <w:pStyle w:val="MText"/>
        <w:rPr>
          <w:lang w:val="es-MX"/>
        </w:rPr>
      </w:pPr>
      <w:r w:rsidRPr="005C6657">
        <w:rPr>
          <w:lang w:val="es-MX"/>
        </w:rPr>
        <w:t xml:space="preserve">Entre 2018 y 2024, los Estados han presentado un total de 411 informes nacionales sobre el Programa de Acción, procedentes de 145 países, con una media de 103 informes en cada ciclo bienal. </w:t>
      </w:r>
    </w:p>
    <w:p w14:paraId="2D0542F7" w14:textId="3DE6BFAB" w:rsidR="00D51E7C" w:rsidRPr="005C6657" w:rsidRDefault="00D51E7C" w:rsidP="00576CFA">
      <w:pPr>
        <w:pStyle w:val="MText"/>
        <w:rPr>
          <w:highlight w:val="cyan"/>
          <w:lang w:val="es-MX"/>
        </w:rPr>
      </w:pPr>
    </w:p>
    <w:p w14:paraId="74B5D2F6" w14:textId="77777777" w:rsidR="00B370F4" w:rsidRPr="00065278" w:rsidRDefault="00B370F4" w:rsidP="00B370F4">
      <w:pPr>
        <w:pStyle w:val="MText"/>
        <w:rPr>
          <w:b/>
          <w:bCs/>
          <w:lang w:val="es-MX"/>
        </w:rPr>
      </w:pPr>
      <w:bookmarkStart w:id="50" w:name="_Hlk196759962"/>
      <w:r w:rsidRPr="00065278">
        <w:rPr>
          <w:b/>
          <w:bCs/>
          <w:lang w:val="es-MX"/>
        </w:rPr>
        <w:t>Serie de tiempo:</w:t>
      </w:r>
    </w:p>
    <w:bookmarkEnd w:id="50"/>
    <w:p w14:paraId="22E355FC" w14:textId="77777777" w:rsidR="005C6657" w:rsidRPr="005C6657" w:rsidRDefault="005C6657" w:rsidP="005C6657">
      <w:pPr>
        <w:pStyle w:val="MText"/>
        <w:rPr>
          <w:lang w:val="es-MX"/>
        </w:rPr>
      </w:pPr>
      <w:r w:rsidRPr="005C6657">
        <w:rPr>
          <w:lang w:val="es-MX"/>
        </w:rPr>
        <w:t xml:space="preserve">2016 – año más reciente </w:t>
      </w:r>
    </w:p>
    <w:p w14:paraId="760C013A" w14:textId="4597FCBD" w:rsidR="00D51E7C" w:rsidRPr="00B370F4" w:rsidRDefault="00D51E7C" w:rsidP="00576CFA">
      <w:pPr>
        <w:pStyle w:val="MText"/>
        <w:rPr>
          <w:highlight w:val="cyan"/>
          <w:lang w:val="es-MX"/>
        </w:rPr>
      </w:pPr>
    </w:p>
    <w:p w14:paraId="06CB0CB4" w14:textId="77777777" w:rsidR="00B370F4" w:rsidRPr="00932E1E" w:rsidRDefault="00B370F4" w:rsidP="00B370F4">
      <w:pPr>
        <w:pStyle w:val="MText"/>
        <w:rPr>
          <w:b/>
          <w:bCs/>
          <w:lang w:val="es-MX"/>
        </w:rPr>
      </w:pPr>
      <w:bookmarkStart w:id="51" w:name="_Hlk196759967"/>
      <w:r w:rsidRPr="00932E1E">
        <w:rPr>
          <w:b/>
          <w:bCs/>
          <w:lang w:val="es-MX"/>
        </w:rPr>
        <w:t>Desagregación:</w:t>
      </w:r>
    </w:p>
    <w:bookmarkEnd w:id="51"/>
    <w:p w14:paraId="44056F18" w14:textId="77777777" w:rsidR="00932E1E" w:rsidRPr="00932E1E" w:rsidRDefault="00932E1E" w:rsidP="00932E1E">
      <w:pPr>
        <w:pStyle w:val="MText"/>
        <w:rPr>
          <w:lang w:val="es-MX"/>
        </w:rPr>
      </w:pPr>
      <w:r w:rsidRPr="00932E1E">
        <w:rPr>
          <w:lang w:val="es-MX"/>
        </w:rPr>
        <w:t>Los datos recolectados permiten el cálculo anual del indicador 16.4.2 a nivel nacional, que puede agregarse a los niveles subregional, regional y mundial. También es posible desglosar el indicador por una serie de variables:</w:t>
      </w:r>
    </w:p>
    <w:p w14:paraId="1F83C290" w14:textId="69721ECA" w:rsidR="00932E1E" w:rsidRPr="00932E1E" w:rsidRDefault="00932E1E" w:rsidP="00932E1E">
      <w:pPr>
        <w:pStyle w:val="MText"/>
        <w:numPr>
          <w:ilvl w:val="0"/>
          <w:numId w:val="14"/>
        </w:numPr>
        <w:rPr>
          <w:lang w:val="es-MX"/>
        </w:rPr>
      </w:pPr>
      <w:r w:rsidRPr="00932E1E">
        <w:rPr>
          <w:lang w:val="es-MX"/>
        </w:rPr>
        <w:t>Por armas incautadas, armas encontradas y armas entregadas.</w:t>
      </w:r>
    </w:p>
    <w:p w14:paraId="790EDE4E" w14:textId="10373727" w:rsidR="00932E1E" w:rsidRDefault="00932E1E" w:rsidP="00932E1E">
      <w:pPr>
        <w:pStyle w:val="MText"/>
        <w:numPr>
          <w:ilvl w:val="0"/>
          <w:numId w:val="14"/>
        </w:numPr>
        <w:rPr>
          <w:lang w:val="es-MX"/>
        </w:rPr>
      </w:pPr>
      <w:r w:rsidRPr="00932E1E">
        <w:rPr>
          <w:lang w:val="es-MX"/>
        </w:rPr>
        <w:t xml:space="preserve">Por diferentes </w:t>
      </w:r>
      <w:r>
        <w:rPr>
          <w:lang w:val="es-MX"/>
        </w:rPr>
        <w:t>“</w:t>
      </w:r>
      <w:r w:rsidRPr="00932E1E">
        <w:rPr>
          <w:lang w:val="es-MX"/>
        </w:rPr>
        <w:t>niveles de rastreo</w:t>
      </w:r>
      <w:r>
        <w:rPr>
          <w:lang w:val="es-MX"/>
        </w:rPr>
        <w:t>”</w:t>
      </w:r>
      <w:r w:rsidRPr="00932E1E">
        <w:rPr>
          <w:lang w:val="es-MX"/>
        </w:rPr>
        <w:t xml:space="preserve"> en los casos en que el rastreo no ha tenido éxito. Por ejemplo, los casos en que el rastreo aún está pendiente o no se dispone de información suficiente para determinar el punto de desviación podrían desglosarse de los casos en que no se ha intentado rastrear el arma en absoluto.</w:t>
      </w:r>
    </w:p>
    <w:p w14:paraId="52D5B186" w14:textId="476F6AFF" w:rsidR="00932E1E" w:rsidRPr="00932E1E" w:rsidRDefault="00932E1E" w:rsidP="00932E1E">
      <w:pPr>
        <w:pStyle w:val="MText"/>
        <w:numPr>
          <w:ilvl w:val="0"/>
          <w:numId w:val="14"/>
        </w:numPr>
        <w:rPr>
          <w:lang w:val="es-MX"/>
        </w:rPr>
      </w:pPr>
      <w:r w:rsidRPr="00932E1E">
        <w:rPr>
          <w:lang w:val="es-MX"/>
        </w:rPr>
        <w:t xml:space="preserve">Según si el origen ilícito se ha determinado mediante rastreo o ha sido establecido por una autoridad competente. </w:t>
      </w:r>
    </w:p>
    <w:p w14:paraId="42E8CA56" w14:textId="77777777" w:rsidR="00D51E7C" w:rsidRPr="00932E1E" w:rsidRDefault="00D51E7C" w:rsidP="00576CFA">
      <w:pPr>
        <w:pStyle w:val="MText"/>
        <w:rPr>
          <w:lang w:val="es-MX"/>
        </w:rPr>
      </w:pPr>
    </w:p>
    <w:p w14:paraId="4D0520F7" w14:textId="049A7C51" w:rsidR="00382CF3" w:rsidRPr="00B370F4" w:rsidRDefault="00B31E2C" w:rsidP="000412A0">
      <w:pPr>
        <w:pStyle w:val="MHeader"/>
        <w:spacing w:after="100"/>
        <w:rPr>
          <w:lang w:val="es-MX"/>
        </w:rPr>
      </w:pPr>
      <w:r w:rsidRPr="00B370F4">
        <w:rPr>
          <w:lang w:val="es-MX"/>
        </w:rPr>
        <w:t xml:space="preserve">6. </w:t>
      </w:r>
      <w:bookmarkStart w:id="52" w:name="_Hlk196759977"/>
      <w:r w:rsidR="00B370F4" w:rsidRPr="0063163D">
        <w:rPr>
          <w:lang w:val="es-MX"/>
        </w:rPr>
        <w:t>Comparabilidad / desviación de estándares internacio</w:t>
      </w:r>
      <w:r w:rsidR="00B370F4">
        <w:rPr>
          <w:lang w:val="es-MX"/>
        </w:rPr>
        <w:t>nales</w:t>
      </w:r>
      <w:bookmarkEnd w:id="52"/>
      <w:r w:rsidRPr="00B370F4">
        <w:rPr>
          <w:lang w:val="es-MX"/>
        </w:rPr>
        <w:t xml:space="preserve"> </w:t>
      </w:r>
      <w:r w:rsidRPr="00B370F4">
        <w:rPr>
          <w:color w:val="B4B4B4"/>
          <w:sz w:val="20"/>
          <w:lang w:val="es-MX"/>
        </w:rPr>
        <w:t>(COMPARABILITY)</w:t>
      </w:r>
    </w:p>
    <w:p w14:paraId="3C2D4870" w14:textId="4E3AAB48" w:rsidR="00D51E7C" w:rsidRPr="00AD15DD" w:rsidRDefault="00932E1E" w:rsidP="00576CFA">
      <w:pPr>
        <w:pStyle w:val="MText"/>
        <w:rPr>
          <w:b/>
          <w:bCs/>
          <w:lang w:val="es-MX"/>
        </w:rPr>
      </w:pPr>
      <w:r>
        <w:rPr>
          <w:lang w:val="es-MX"/>
        </w:rPr>
        <w:t xml:space="preserve">No aplica. </w:t>
      </w:r>
    </w:p>
    <w:p w14:paraId="5AB6DD91" w14:textId="77777777" w:rsidR="00F719A8" w:rsidRPr="007413CC" w:rsidRDefault="00F719A8" w:rsidP="00576CFA">
      <w:pPr>
        <w:pStyle w:val="MText"/>
        <w:rPr>
          <w:lang w:val="es-MX"/>
        </w:rPr>
      </w:pPr>
    </w:p>
    <w:p w14:paraId="76DF099C" w14:textId="5F3403F1" w:rsidR="00382CF3" w:rsidRPr="00B370F4" w:rsidRDefault="00576CFA" w:rsidP="000412A0">
      <w:pPr>
        <w:pStyle w:val="MHeader"/>
        <w:spacing w:after="100"/>
        <w:rPr>
          <w:lang w:val="es-MX"/>
        </w:rPr>
      </w:pPr>
      <w:r w:rsidRPr="00B370F4">
        <w:rPr>
          <w:lang w:val="es-MX"/>
        </w:rPr>
        <w:t>7</w:t>
      </w:r>
      <w:r w:rsidR="00382CF3" w:rsidRPr="00B370F4">
        <w:rPr>
          <w:lang w:val="es-MX"/>
        </w:rPr>
        <w:t xml:space="preserve">. </w:t>
      </w:r>
      <w:bookmarkStart w:id="53" w:name="_Hlk196759991"/>
      <w:r w:rsidR="00B370F4" w:rsidRPr="0063163D">
        <w:rPr>
          <w:lang w:val="es-MX"/>
        </w:rPr>
        <w:t>Referencias y documentación</w:t>
      </w:r>
      <w:bookmarkEnd w:id="53"/>
      <w:r w:rsidR="00B370F4" w:rsidRPr="0063163D">
        <w:rPr>
          <w:lang w:val="es-MX"/>
        </w:rPr>
        <w:t xml:space="preserve"> </w:t>
      </w:r>
      <w:r w:rsidRPr="00B370F4">
        <w:rPr>
          <w:color w:val="B4B4B4"/>
          <w:sz w:val="20"/>
          <w:lang w:val="es-MX"/>
        </w:rPr>
        <w:t>(OTHER_DOC)</w:t>
      </w:r>
    </w:p>
    <w:bookmarkStart w:id="54" w:name="_Hlk129430551"/>
    <w:p w14:paraId="2FC8921E" w14:textId="77777777" w:rsidR="00754FCE" w:rsidRPr="007413CC" w:rsidRDefault="00F04E7D" w:rsidP="00754FCE">
      <w:pPr>
        <w:shd w:val="clear" w:color="auto" w:fill="FFFFFF"/>
        <w:spacing w:after="0"/>
        <w:rPr>
          <w:rFonts w:eastAsia="Times New Roman" w:cs="Times New Roman"/>
          <w:b/>
          <w:bCs/>
          <w:color w:val="4A4A4A"/>
          <w:sz w:val="21"/>
          <w:szCs w:val="21"/>
          <w:lang w:val="es-MX" w:eastAsia="en-GB"/>
        </w:rPr>
      </w:pPr>
      <w:r>
        <w:fldChar w:fldCharType="begin"/>
      </w:r>
      <w:r w:rsidRPr="007413CC">
        <w:rPr>
          <w:lang w:val="es-MX"/>
        </w:rPr>
        <w:instrText xml:space="preserve"> HYPERLINK "http://www.unodc.org" </w:instrText>
      </w:r>
      <w:r>
        <w:fldChar w:fldCharType="separate"/>
      </w:r>
      <w:r w:rsidR="00754FCE" w:rsidRPr="007413CC">
        <w:rPr>
          <w:rStyle w:val="Hipervnculo"/>
          <w:rFonts w:eastAsia="Times New Roman" w:cs="Times New Roman"/>
          <w:sz w:val="21"/>
          <w:szCs w:val="21"/>
          <w:lang w:val="es-MX" w:eastAsia="en-GB"/>
        </w:rPr>
        <w:t>www.unodc.org</w:t>
      </w:r>
      <w:r>
        <w:rPr>
          <w:rStyle w:val="Hipervnculo"/>
          <w:rFonts w:eastAsia="Times New Roman" w:cs="Times New Roman"/>
          <w:sz w:val="21"/>
          <w:szCs w:val="21"/>
          <w:lang w:eastAsia="en-GB"/>
        </w:rPr>
        <w:fldChar w:fldCharType="end"/>
      </w:r>
    </w:p>
    <w:p w14:paraId="42B8D415" w14:textId="77777777" w:rsidR="00D21ACA" w:rsidRPr="007413CC" w:rsidRDefault="00D21ACA" w:rsidP="00D21ACA">
      <w:pPr>
        <w:shd w:val="clear" w:color="auto" w:fill="FFFFFF"/>
        <w:spacing w:after="0"/>
        <w:rPr>
          <w:rFonts w:eastAsia="Times New Roman" w:cs="Times New Roman"/>
          <w:color w:val="4A4A4A"/>
          <w:sz w:val="21"/>
          <w:szCs w:val="21"/>
          <w:lang w:val="es-MX" w:eastAsia="en-GB"/>
        </w:rPr>
      </w:pPr>
      <w:hyperlink r:id="rId14" w:history="1">
        <w:r w:rsidRPr="007413CC">
          <w:rPr>
            <w:rStyle w:val="Hipervnculo"/>
            <w:rFonts w:eastAsia="Times New Roman" w:cs="Times New Roman"/>
            <w:sz w:val="21"/>
            <w:szCs w:val="21"/>
            <w:lang w:val="es-MX" w:eastAsia="en-GB"/>
          </w:rPr>
          <w:t>https://dataunodc.un.org/sdgs</w:t>
        </w:r>
      </w:hyperlink>
    </w:p>
    <w:p w14:paraId="7581E6B0" w14:textId="77777777" w:rsidR="008612DE" w:rsidRPr="007413CC" w:rsidRDefault="008612DE" w:rsidP="008612DE">
      <w:pPr>
        <w:shd w:val="clear" w:color="auto" w:fill="FFFFFF"/>
        <w:spacing w:after="0"/>
        <w:rPr>
          <w:rFonts w:eastAsia="Times New Roman" w:cs="Times New Roman"/>
          <w:color w:val="4A4A4A"/>
          <w:sz w:val="21"/>
          <w:szCs w:val="21"/>
          <w:lang w:val="es-MX" w:eastAsia="en-GB"/>
        </w:rPr>
      </w:pPr>
      <w:hyperlink r:id="rId15" w:history="1">
        <w:r w:rsidRPr="007413CC">
          <w:rPr>
            <w:rStyle w:val="Hipervnculo"/>
            <w:rFonts w:eastAsia="Times New Roman" w:cs="Times New Roman"/>
            <w:sz w:val="21"/>
            <w:szCs w:val="21"/>
            <w:lang w:val="es-MX" w:eastAsia="en-GB"/>
          </w:rPr>
          <w:t>http://www.unodc.org/unodc/en/data-and-analysis/statistics/crime/iafq.html</w:t>
        </w:r>
      </w:hyperlink>
    </w:p>
    <w:bookmarkEnd w:id="54"/>
    <w:p w14:paraId="3EA34892" w14:textId="52DD7411" w:rsidR="00754FCE" w:rsidRPr="007413CC" w:rsidRDefault="00F4115F" w:rsidP="00754FCE">
      <w:pPr>
        <w:shd w:val="clear" w:color="auto" w:fill="FFFFFF"/>
        <w:spacing w:after="0"/>
        <w:rPr>
          <w:rFonts w:eastAsia="Times New Roman" w:cs="Times New Roman"/>
          <w:color w:val="4A4A4A"/>
          <w:sz w:val="21"/>
          <w:szCs w:val="21"/>
          <w:lang w:val="es-MX" w:eastAsia="en-GB"/>
        </w:rPr>
      </w:pPr>
      <w:r w:rsidRPr="007413CC">
        <w:rPr>
          <w:rFonts w:eastAsia="Times New Roman" w:cs="Times New Roman"/>
          <w:color w:val="4A4A4A"/>
          <w:sz w:val="21"/>
          <w:szCs w:val="21"/>
          <w:lang w:val="es-MX" w:eastAsia="en-GB"/>
        </w:rPr>
        <w:t>https://smallarms.un-arm.org/sustainable-development-goals</w:t>
      </w:r>
    </w:p>
    <w:p w14:paraId="0DA3650B" w14:textId="047FAD08" w:rsidR="00754FCE" w:rsidRPr="007413CC" w:rsidRDefault="005F751C" w:rsidP="00754FCE">
      <w:pPr>
        <w:shd w:val="clear" w:color="auto" w:fill="FFFFFF"/>
        <w:spacing w:after="0"/>
        <w:rPr>
          <w:rFonts w:eastAsia="Times New Roman" w:cs="Times New Roman"/>
          <w:color w:val="4A4A4A"/>
          <w:sz w:val="21"/>
          <w:szCs w:val="21"/>
          <w:lang w:val="es-MX" w:eastAsia="en-GB"/>
        </w:rPr>
      </w:pPr>
      <w:r w:rsidRPr="007413CC">
        <w:rPr>
          <w:rFonts w:eastAsia="Times New Roman" w:cs="Times New Roman"/>
          <w:color w:val="4A4A4A"/>
          <w:sz w:val="21"/>
          <w:szCs w:val="21"/>
          <w:lang w:val="es-MX" w:eastAsia="en-GB"/>
        </w:rPr>
        <w:t>https://smallarms.un-arm.org/national-reports</w:t>
      </w:r>
      <w:hyperlink r:id="rId16" w:history="1">
        <w:r w:rsidR="00754FCE" w:rsidRPr="007413CC">
          <w:rPr>
            <w:rStyle w:val="Hipervnculo"/>
            <w:rFonts w:eastAsia="Times New Roman" w:cs="Times New Roman"/>
            <w:sz w:val="21"/>
            <w:szCs w:val="21"/>
            <w:lang w:val="es-MX" w:eastAsia="en-GB"/>
          </w:rPr>
          <w:t>http://www.unodc.org/unodc/en/data-and-analysis/statistics/crime/iafq.html</w:t>
        </w:r>
      </w:hyperlink>
    </w:p>
    <w:p w14:paraId="5068096C" w14:textId="325ADA7A" w:rsidR="00754FCE" w:rsidRPr="00754FCE" w:rsidRDefault="00754FCE" w:rsidP="00754FCE">
      <w:pPr>
        <w:shd w:val="clear" w:color="auto" w:fill="FFFFFF"/>
        <w:spacing w:after="0"/>
        <w:rPr>
          <w:rStyle w:val="Hipervnculo"/>
          <w:rFonts w:eastAsia="Times New Roman" w:cs="Times New Roman"/>
          <w:sz w:val="21"/>
          <w:szCs w:val="21"/>
          <w:lang w:eastAsia="en-GB"/>
        </w:rPr>
      </w:pPr>
      <w:hyperlink r:id="rId17" w:history="1">
        <w:r w:rsidRPr="00754FCE">
          <w:rPr>
            <w:rStyle w:val="Hipervnculo"/>
            <w:rFonts w:eastAsia="Times New Roman" w:cs="Times New Roman"/>
            <w:sz w:val="21"/>
            <w:szCs w:val="21"/>
            <w:lang w:eastAsia="en-GB"/>
          </w:rPr>
          <w:t>02.pdf</w:t>
        </w:r>
      </w:hyperlink>
    </w:p>
    <w:p w14:paraId="384B0992" w14:textId="36889691" w:rsidR="00186795" w:rsidRDefault="00186795"/>
    <w:sectPr w:rsidR="00186795">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93000" w14:textId="77777777" w:rsidR="00290C40" w:rsidRDefault="00290C40" w:rsidP="00573C0B">
      <w:pPr>
        <w:spacing w:after="0" w:line="240" w:lineRule="auto"/>
      </w:pPr>
      <w:r>
        <w:separator/>
      </w:r>
    </w:p>
  </w:endnote>
  <w:endnote w:type="continuationSeparator" w:id="0">
    <w:p w14:paraId="3CC0EC10" w14:textId="77777777" w:rsidR="00290C40" w:rsidRDefault="00290C40" w:rsidP="00573C0B">
      <w:pPr>
        <w:spacing w:after="0" w:line="240" w:lineRule="auto"/>
      </w:pPr>
      <w:r>
        <w:continuationSeparator/>
      </w:r>
    </w:p>
  </w:endnote>
  <w:endnote w:type="continuationNotice" w:id="1">
    <w:p w14:paraId="6735390E" w14:textId="77777777" w:rsidR="00290C40" w:rsidRDefault="00290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A45AA9" w14:paraId="2AD35691" w14:textId="77777777" w:rsidTr="47A45AA9">
      <w:tc>
        <w:tcPr>
          <w:tcW w:w="3005" w:type="dxa"/>
        </w:tcPr>
        <w:p w14:paraId="495DF044" w14:textId="45FB4D4D" w:rsidR="47A45AA9" w:rsidRDefault="47A45AA9" w:rsidP="47A45AA9">
          <w:pPr>
            <w:pStyle w:val="Encabezado"/>
            <w:ind w:left="-115"/>
          </w:pPr>
        </w:p>
      </w:tc>
      <w:tc>
        <w:tcPr>
          <w:tcW w:w="3005" w:type="dxa"/>
        </w:tcPr>
        <w:p w14:paraId="626D955A" w14:textId="6A259E06" w:rsidR="47A45AA9" w:rsidRDefault="47A45AA9" w:rsidP="47A45AA9">
          <w:pPr>
            <w:pStyle w:val="Encabezado"/>
            <w:jc w:val="center"/>
          </w:pPr>
        </w:p>
      </w:tc>
      <w:tc>
        <w:tcPr>
          <w:tcW w:w="3005" w:type="dxa"/>
        </w:tcPr>
        <w:p w14:paraId="6CB4E46B" w14:textId="1348DD9A" w:rsidR="47A45AA9" w:rsidRDefault="47A45AA9" w:rsidP="47A45AA9">
          <w:pPr>
            <w:pStyle w:val="Encabezado"/>
            <w:ind w:right="-115"/>
            <w:jc w:val="right"/>
          </w:pPr>
        </w:p>
      </w:tc>
    </w:tr>
  </w:tbl>
  <w:p w14:paraId="00C59CA2" w14:textId="14AF1FAF" w:rsidR="47A45AA9" w:rsidRDefault="47A45AA9" w:rsidP="47A45A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FB19" w14:textId="77777777" w:rsidR="00290C40" w:rsidRDefault="00290C40" w:rsidP="00573C0B">
      <w:pPr>
        <w:spacing w:after="0" w:line="240" w:lineRule="auto"/>
      </w:pPr>
      <w:r>
        <w:separator/>
      </w:r>
    </w:p>
  </w:footnote>
  <w:footnote w:type="continuationSeparator" w:id="0">
    <w:p w14:paraId="3B87D268" w14:textId="77777777" w:rsidR="00290C40" w:rsidRDefault="00290C40" w:rsidP="00573C0B">
      <w:pPr>
        <w:spacing w:after="0" w:line="240" w:lineRule="auto"/>
      </w:pPr>
      <w:r>
        <w:continuationSeparator/>
      </w:r>
    </w:p>
  </w:footnote>
  <w:footnote w:type="continuationNotice" w:id="1">
    <w:p w14:paraId="5BC3DB69" w14:textId="77777777" w:rsidR="00290C40" w:rsidRDefault="00290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106CE09F" w:rsidR="00077F46" w:rsidRPr="00757E8A" w:rsidRDefault="00B370F4" w:rsidP="00077F46">
    <w:pPr>
      <w:pStyle w:val="Encabezado"/>
      <w:jc w:val="right"/>
      <w:rPr>
        <w:color w:val="404040" w:themeColor="text1" w:themeTint="BF"/>
        <w:sz w:val="18"/>
        <w:szCs w:val="18"/>
      </w:rPr>
    </w:pPr>
    <w:bookmarkStart w:id="55" w:name="_Hlk506197003"/>
    <w:bookmarkStart w:id="56" w:name="_Hlk506197004"/>
    <w:bookmarkStart w:id="57" w:name="_Hlk506197005"/>
    <w:bookmarkStart w:id="58" w:name="_Hlk516233502"/>
    <w:bookmarkStart w:id="59" w:name="_Hlk516233503"/>
    <w:bookmarkStart w:id="60" w:name="_Hlk516233504"/>
    <w:proofErr w:type="spellStart"/>
    <w:r>
      <w:rPr>
        <w:color w:val="404040" w:themeColor="text1" w:themeTint="BF"/>
        <w:sz w:val="18"/>
        <w:szCs w:val="18"/>
      </w:rPr>
      <w:t>Última</w:t>
    </w:r>
    <w:proofErr w:type="spellEnd"/>
    <w:r>
      <w:rPr>
        <w:color w:val="404040" w:themeColor="text1" w:themeTint="BF"/>
        <w:sz w:val="18"/>
        <w:szCs w:val="18"/>
      </w:rPr>
      <w:t xml:space="preserve"> </w:t>
    </w:r>
    <w:proofErr w:type="spellStart"/>
    <w:r>
      <w:rPr>
        <w:color w:val="404040" w:themeColor="text1" w:themeTint="BF"/>
        <w:sz w:val="18"/>
        <w:szCs w:val="18"/>
      </w:rPr>
      <w:t>actualización</w:t>
    </w:r>
    <w:proofErr w:type="spellEnd"/>
    <w:r w:rsidR="47A45AA9" w:rsidRPr="47A45AA9">
      <w:rPr>
        <w:color w:val="404040" w:themeColor="text1" w:themeTint="BF"/>
        <w:sz w:val="18"/>
        <w:szCs w:val="18"/>
      </w:rPr>
      <w:t>:</w:t>
    </w:r>
    <w:bookmarkEnd w:id="55"/>
    <w:bookmarkEnd w:id="56"/>
    <w:bookmarkEnd w:id="57"/>
    <w:bookmarkEnd w:id="58"/>
    <w:bookmarkEnd w:id="59"/>
    <w:bookmarkEnd w:id="60"/>
    <w:r w:rsidR="47A45AA9" w:rsidRPr="47A45AA9">
      <w:rPr>
        <w:color w:val="404040" w:themeColor="text1" w:themeTint="BF"/>
        <w:sz w:val="18"/>
        <w:szCs w:val="18"/>
      </w:rPr>
      <w:t xml:space="preserve"> 20</w:t>
    </w:r>
    <w:r w:rsidR="005035DA">
      <w:rPr>
        <w:color w:val="404040" w:themeColor="text1" w:themeTint="BF"/>
        <w:sz w:val="18"/>
        <w:szCs w:val="18"/>
      </w:rPr>
      <w:t>2</w:t>
    </w:r>
    <w:r w:rsidR="0083408B">
      <w:rPr>
        <w:color w:val="404040" w:themeColor="text1" w:themeTint="BF"/>
        <w:sz w:val="18"/>
        <w:szCs w:val="18"/>
      </w:rPr>
      <w:t>4</w:t>
    </w:r>
    <w:r w:rsidR="005035DA">
      <w:rPr>
        <w:color w:val="404040" w:themeColor="text1" w:themeTint="BF"/>
        <w:sz w:val="18"/>
        <w:szCs w:val="18"/>
      </w:rPr>
      <w:t>-</w:t>
    </w:r>
    <w:r w:rsidR="006E55BD">
      <w:rPr>
        <w:color w:val="404040" w:themeColor="text1" w:themeTint="BF"/>
        <w:sz w:val="18"/>
        <w:szCs w:val="18"/>
      </w:rPr>
      <w:t>09</w:t>
    </w:r>
    <w:r w:rsidR="005035DA">
      <w:rPr>
        <w:color w:val="404040" w:themeColor="text1" w:themeTint="BF"/>
        <w:sz w:val="18"/>
        <w:szCs w:val="18"/>
      </w:rPr>
      <w:t>-</w:t>
    </w:r>
    <w:r w:rsidR="006E55BD">
      <w:rPr>
        <w:color w:val="404040" w:themeColor="text1" w:themeTint="BF"/>
        <w:sz w:val="18"/>
        <w:szCs w:val="18"/>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900"/>
    <w:multiLevelType w:val="hybridMultilevel"/>
    <w:tmpl w:val="5AD07844"/>
    <w:lvl w:ilvl="0" w:tplc="B96E56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71420"/>
    <w:multiLevelType w:val="hybridMultilevel"/>
    <w:tmpl w:val="6CA4313E"/>
    <w:lvl w:ilvl="0" w:tplc="B96E56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F07BC"/>
    <w:multiLevelType w:val="hybridMultilevel"/>
    <w:tmpl w:val="C73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B6002"/>
    <w:multiLevelType w:val="hybridMultilevel"/>
    <w:tmpl w:val="EC2E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25B84"/>
    <w:multiLevelType w:val="hybridMultilevel"/>
    <w:tmpl w:val="B94E5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83D03"/>
    <w:multiLevelType w:val="hybridMultilevel"/>
    <w:tmpl w:val="C56A2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5B6C0F"/>
    <w:multiLevelType w:val="hybridMultilevel"/>
    <w:tmpl w:val="8EAE5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251157"/>
    <w:multiLevelType w:val="hybridMultilevel"/>
    <w:tmpl w:val="F5D8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C3F53"/>
    <w:multiLevelType w:val="hybridMultilevel"/>
    <w:tmpl w:val="4296C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2F2F1B"/>
    <w:multiLevelType w:val="hybridMultilevel"/>
    <w:tmpl w:val="C43E1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828961">
    <w:abstractNumId w:val="10"/>
  </w:num>
  <w:num w:numId="2" w16cid:durableId="1015695715">
    <w:abstractNumId w:val="2"/>
  </w:num>
  <w:num w:numId="3" w16cid:durableId="22903106">
    <w:abstractNumId w:val="13"/>
  </w:num>
  <w:num w:numId="4" w16cid:durableId="549419029">
    <w:abstractNumId w:val="5"/>
  </w:num>
  <w:num w:numId="5" w16cid:durableId="1441223632">
    <w:abstractNumId w:val="3"/>
  </w:num>
  <w:num w:numId="6" w16cid:durableId="599605704">
    <w:abstractNumId w:val="0"/>
  </w:num>
  <w:num w:numId="7" w16cid:durableId="1849783360">
    <w:abstractNumId w:val="1"/>
  </w:num>
  <w:num w:numId="8" w16cid:durableId="1812626781">
    <w:abstractNumId w:val="9"/>
  </w:num>
  <w:num w:numId="9" w16cid:durableId="1997881845">
    <w:abstractNumId w:val="4"/>
  </w:num>
  <w:num w:numId="10" w16cid:durableId="1829054837">
    <w:abstractNumId w:val="6"/>
  </w:num>
  <w:num w:numId="11" w16cid:durableId="703676399">
    <w:abstractNumId w:val="12"/>
  </w:num>
  <w:num w:numId="12" w16cid:durableId="1648393146">
    <w:abstractNumId w:val="11"/>
  </w:num>
  <w:num w:numId="13" w16cid:durableId="324550951">
    <w:abstractNumId w:val="7"/>
  </w:num>
  <w:num w:numId="14" w16cid:durableId="466431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EDC"/>
    <w:rsid w:val="0000275F"/>
    <w:rsid w:val="000070BA"/>
    <w:rsid w:val="0001692F"/>
    <w:rsid w:val="000173F9"/>
    <w:rsid w:val="0001752E"/>
    <w:rsid w:val="00017C39"/>
    <w:rsid w:val="00032608"/>
    <w:rsid w:val="000412A0"/>
    <w:rsid w:val="00043DC7"/>
    <w:rsid w:val="00044DCE"/>
    <w:rsid w:val="00047DDA"/>
    <w:rsid w:val="0005455A"/>
    <w:rsid w:val="00062240"/>
    <w:rsid w:val="00062E7B"/>
    <w:rsid w:val="000649BF"/>
    <w:rsid w:val="000672A3"/>
    <w:rsid w:val="00067DCF"/>
    <w:rsid w:val="000710F3"/>
    <w:rsid w:val="000718F1"/>
    <w:rsid w:val="00071F07"/>
    <w:rsid w:val="00076212"/>
    <w:rsid w:val="0007759D"/>
    <w:rsid w:val="000777AB"/>
    <w:rsid w:val="00077F46"/>
    <w:rsid w:val="000835F9"/>
    <w:rsid w:val="000839C1"/>
    <w:rsid w:val="00084BF8"/>
    <w:rsid w:val="000851CA"/>
    <w:rsid w:val="00090FB1"/>
    <w:rsid w:val="00092730"/>
    <w:rsid w:val="00096186"/>
    <w:rsid w:val="000A2A31"/>
    <w:rsid w:val="000A72E4"/>
    <w:rsid w:val="000A7D7C"/>
    <w:rsid w:val="000B0E2F"/>
    <w:rsid w:val="000B19B7"/>
    <w:rsid w:val="000B20E2"/>
    <w:rsid w:val="000B2430"/>
    <w:rsid w:val="000B4427"/>
    <w:rsid w:val="000C1CFC"/>
    <w:rsid w:val="000D031F"/>
    <w:rsid w:val="000D0B30"/>
    <w:rsid w:val="000D21F7"/>
    <w:rsid w:val="000D6B75"/>
    <w:rsid w:val="000E21F1"/>
    <w:rsid w:val="000E617C"/>
    <w:rsid w:val="000F703E"/>
    <w:rsid w:val="001144E1"/>
    <w:rsid w:val="00115D35"/>
    <w:rsid w:val="00116205"/>
    <w:rsid w:val="00120E86"/>
    <w:rsid w:val="001256D0"/>
    <w:rsid w:val="00125DE9"/>
    <w:rsid w:val="00130550"/>
    <w:rsid w:val="001308CB"/>
    <w:rsid w:val="001332E0"/>
    <w:rsid w:val="00134DE7"/>
    <w:rsid w:val="001413C3"/>
    <w:rsid w:val="00141ACC"/>
    <w:rsid w:val="00144E8B"/>
    <w:rsid w:val="00154165"/>
    <w:rsid w:val="00154831"/>
    <w:rsid w:val="001568B1"/>
    <w:rsid w:val="001630F1"/>
    <w:rsid w:val="00174AFF"/>
    <w:rsid w:val="00175C2B"/>
    <w:rsid w:val="00175CAC"/>
    <w:rsid w:val="001779AE"/>
    <w:rsid w:val="00185354"/>
    <w:rsid w:val="001854DC"/>
    <w:rsid w:val="00186795"/>
    <w:rsid w:val="00194D09"/>
    <w:rsid w:val="00197534"/>
    <w:rsid w:val="001A46DD"/>
    <w:rsid w:val="001A60CC"/>
    <w:rsid w:val="001A7D5C"/>
    <w:rsid w:val="001B60AA"/>
    <w:rsid w:val="001B63C8"/>
    <w:rsid w:val="001B7D0E"/>
    <w:rsid w:val="001C1972"/>
    <w:rsid w:val="001C1E3D"/>
    <w:rsid w:val="001C3EBB"/>
    <w:rsid w:val="001C421F"/>
    <w:rsid w:val="001C6107"/>
    <w:rsid w:val="001C64B2"/>
    <w:rsid w:val="001D360D"/>
    <w:rsid w:val="001E3DE2"/>
    <w:rsid w:val="001E5295"/>
    <w:rsid w:val="001F7A90"/>
    <w:rsid w:val="001F7C7B"/>
    <w:rsid w:val="00201020"/>
    <w:rsid w:val="00205056"/>
    <w:rsid w:val="00206A92"/>
    <w:rsid w:val="00239357"/>
    <w:rsid w:val="00242057"/>
    <w:rsid w:val="00243110"/>
    <w:rsid w:val="0024336B"/>
    <w:rsid w:val="0024604D"/>
    <w:rsid w:val="002603AA"/>
    <w:rsid w:val="00261A8D"/>
    <w:rsid w:val="002632FC"/>
    <w:rsid w:val="00273597"/>
    <w:rsid w:val="0027555B"/>
    <w:rsid w:val="00277F80"/>
    <w:rsid w:val="00283C1C"/>
    <w:rsid w:val="002843E9"/>
    <w:rsid w:val="00290C16"/>
    <w:rsid w:val="00290C40"/>
    <w:rsid w:val="00291A00"/>
    <w:rsid w:val="00291A11"/>
    <w:rsid w:val="00295792"/>
    <w:rsid w:val="002A315C"/>
    <w:rsid w:val="002A3342"/>
    <w:rsid w:val="002A64BA"/>
    <w:rsid w:val="002A7226"/>
    <w:rsid w:val="002B31E5"/>
    <w:rsid w:val="002B3822"/>
    <w:rsid w:val="002B4989"/>
    <w:rsid w:val="002C2510"/>
    <w:rsid w:val="002C4482"/>
    <w:rsid w:val="002C6363"/>
    <w:rsid w:val="002C711E"/>
    <w:rsid w:val="002D6093"/>
    <w:rsid w:val="002D714E"/>
    <w:rsid w:val="002D7A98"/>
    <w:rsid w:val="002E3B54"/>
    <w:rsid w:val="002E46B3"/>
    <w:rsid w:val="002E4F0F"/>
    <w:rsid w:val="002E53C3"/>
    <w:rsid w:val="002E5A85"/>
    <w:rsid w:val="002F0E57"/>
    <w:rsid w:val="002F1468"/>
    <w:rsid w:val="002F18D4"/>
    <w:rsid w:val="002F461D"/>
    <w:rsid w:val="002F5F0C"/>
    <w:rsid w:val="002F601A"/>
    <w:rsid w:val="00304CFB"/>
    <w:rsid w:val="003064E0"/>
    <w:rsid w:val="00310942"/>
    <w:rsid w:val="00311D61"/>
    <w:rsid w:val="00315165"/>
    <w:rsid w:val="003164D7"/>
    <w:rsid w:val="00317C44"/>
    <w:rsid w:val="0032124C"/>
    <w:rsid w:val="003265EB"/>
    <w:rsid w:val="00335EFD"/>
    <w:rsid w:val="00336175"/>
    <w:rsid w:val="0034329E"/>
    <w:rsid w:val="00343FAA"/>
    <w:rsid w:val="00346361"/>
    <w:rsid w:val="00347F5E"/>
    <w:rsid w:val="003529C5"/>
    <w:rsid w:val="00353C98"/>
    <w:rsid w:val="00357EDD"/>
    <w:rsid w:val="00361B13"/>
    <w:rsid w:val="00362AED"/>
    <w:rsid w:val="00363901"/>
    <w:rsid w:val="0036697F"/>
    <w:rsid w:val="00371A20"/>
    <w:rsid w:val="00374F69"/>
    <w:rsid w:val="00377FAB"/>
    <w:rsid w:val="00381905"/>
    <w:rsid w:val="003821B4"/>
    <w:rsid w:val="00382CF3"/>
    <w:rsid w:val="00387D52"/>
    <w:rsid w:val="0039025F"/>
    <w:rsid w:val="00394551"/>
    <w:rsid w:val="00394FA8"/>
    <w:rsid w:val="00397E5D"/>
    <w:rsid w:val="003A053F"/>
    <w:rsid w:val="003A0A8E"/>
    <w:rsid w:val="003A11C9"/>
    <w:rsid w:val="003A7CEA"/>
    <w:rsid w:val="003C2087"/>
    <w:rsid w:val="003C4E28"/>
    <w:rsid w:val="003C6AF1"/>
    <w:rsid w:val="003C7632"/>
    <w:rsid w:val="003E12E9"/>
    <w:rsid w:val="003E1E78"/>
    <w:rsid w:val="003E3AF9"/>
    <w:rsid w:val="003E71BD"/>
    <w:rsid w:val="003F0BD3"/>
    <w:rsid w:val="003F278A"/>
    <w:rsid w:val="003F293F"/>
    <w:rsid w:val="003F3BE4"/>
    <w:rsid w:val="003F5C10"/>
    <w:rsid w:val="003F698B"/>
    <w:rsid w:val="003F7A02"/>
    <w:rsid w:val="004010E1"/>
    <w:rsid w:val="0040225C"/>
    <w:rsid w:val="00403FFD"/>
    <w:rsid w:val="00416EFE"/>
    <w:rsid w:val="00422309"/>
    <w:rsid w:val="00422EA5"/>
    <w:rsid w:val="00422EFA"/>
    <w:rsid w:val="0042522A"/>
    <w:rsid w:val="0042791F"/>
    <w:rsid w:val="00431484"/>
    <w:rsid w:val="004324C5"/>
    <w:rsid w:val="004360E0"/>
    <w:rsid w:val="004456ED"/>
    <w:rsid w:val="0045615B"/>
    <w:rsid w:val="00472145"/>
    <w:rsid w:val="00474767"/>
    <w:rsid w:val="0048045A"/>
    <w:rsid w:val="004811BF"/>
    <w:rsid w:val="004816BF"/>
    <w:rsid w:val="004841B8"/>
    <w:rsid w:val="004861DE"/>
    <w:rsid w:val="004930F2"/>
    <w:rsid w:val="00496699"/>
    <w:rsid w:val="00497E84"/>
    <w:rsid w:val="004A0263"/>
    <w:rsid w:val="004B0F1C"/>
    <w:rsid w:val="004B20BE"/>
    <w:rsid w:val="004C0B41"/>
    <w:rsid w:val="004C2D6A"/>
    <w:rsid w:val="004C5ABA"/>
    <w:rsid w:val="004C5F5F"/>
    <w:rsid w:val="004C628B"/>
    <w:rsid w:val="004D1056"/>
    <w:rsid w:val="004D275B"/>
    <w:rsid w:val="004E0982"/>
    <w:rsid w:val="004E2DAF"/>
    <w:rsid w:val="004F2EE6"/>
    <w:rsid w:val="004F313C"/>
    <w:rsid w:val="00501235"/>
    <w:rsid w:val="00502DBA"/>
    <w:rsid w:val="005035DA"/>
    <w:rsid w:val="005040C4"/>
    <w:rsid w:val="00507637"/>
    <w:rsid w:val="00507852"/>
    <w:rsid w:val="005129C2"/>
    <w:rsid w:val="00513A19"/>
    <w:rsid w:val="00513C53"/>
    <w:rsid w:val="00514DBF"/>
    <w:rsid w:val="00526E27"/>
    <w:rsid w:val="00531AE4"/>
    <w:rsid w:val="00531C48"/>
    <w:rsid w:val="00532BC1"/>
    <w:rsid w:val="005338B1"/>
    <w:rsid w:val="0054776C"/>
    <w:rsid w:val="00550921"/>
    <w:rsid w:val="00550C0E"/>
    <w:rsid w:val="00563712"/>
    <w:rsid w:val="00563A7F"/>
    <w:rsid w:val="005647D8"/>
    <w:rsid w:val="00565DA1"/>
    <w:rsid w:val="005723B4"/>
    <w:rsid w:val="00573631"/>
    <w:rsid w:val="00573645"/>
    <w:rsid w:val="00573C0B"/>
    <w:rsid w:val="0057642E"/>
    <w:rsid w:val="00576CFA"/>
    <w:rsid w:val="005846FA"/>
    <w:rsid w:val="0058556D"/>
    <w:rsid w:val="00587DC1"/>
    <w:rsid w:val="00590BDF"/>
    <w:rsid w:val="00592AF2"/>
    <w:rsid w:val="005947AD"/>
    <w:rsid w:val="00597748"/>
    <w:rsid w:val="005979E8"/>
    <w:rsid w:val="00597FB5"/>
    <w:rsid w:val="005A6E79"/>
    <w:rsid w:val="005B3430"/>
    <w:rsid w:val="005B3DF4"/>
    <w:rsid w:val="005B6A73"/>
    <w:rsid w:val="005C2FA2"/>
    <w:rsid w:val="005C3B1F"/>
    <w:rsid w:val="005C564D"/>
    <w:rsid w:val="005C6657"/>
    <w:rsid w:val="005C71CC"/>
    <w:rsid w:val="005D096F"/>
    <w:rsid w:val="005D0AF4"/>
    <w:rsid w:val="005D2C0B"/>
    <w:rsid w:val="005E53E8"/>
    <w:rsid w:val="005E54BD"/>
    <w:rsid w:val="005E55BC"/>
    <w:rsid w:val="005F1C0B"/>
    <w:rsid w:val="005F6CCA"/>
    <w:rsid w:val="005F751C"/>
    <w:rsid w:val="00610494"/>
    <w:rsid w:val="006104AF"/>
    <w:rsid w:val="00611ED0"/>
    <w:rsid w:val="006165D3"/>
    <w:rsid w:val="00621893"/>
    <w:rsid w:val="00625E94"/>
    <w:rsid w:val="00630CAD"/>
    <w:rsid w:val="00634729"/>
    <w:rsid w:val="006351E1"/>
    <w:rsid w:val="0064257B"/>
    <w:rsid w:val="006447B1"/>
    <w:rsid w:val="006463C9"/>
    <w:rsid w:val="006517F5"/>
    <w:rsid w:val="00653155"/>
    <w:rsid w:val="006563B7"/>
    <w:rsid w:val="00657733"/>
    <w:rsid w:val="006606F7"/>
    <w:rsid w:val="00662775"/>
    <w:rsid w:val="00663634"/>
    <w:rsid w:val="00665586"/>
    <w:rsid w:val="0066608B"/>
    <w:rsid w:val="00674FD2"/>
    <w:rsid w:val="00684A8F"/>
    <w:rsid w:val="006852FC"/>
    <w:rsid w:val="006A259A"/>
    <w:rsid w:val="006A459D"/>
    <w:rsid w:val="006B40AB"/>
    <w:rsid w:val="006B4D56"/>
    <w:rsid w:val="006B5DC5"/>
    <w:rsid w:val="006C1B87"/>
    <w:rsid w:val="006C4BFD"/>
    <w:rsid w:val="006C7D30"/>
    <w:rsid w:val="006D000E"/>
    <w:rsid w:val="006D558F"/>
    <w:rsid w:val="006E3C08"/>
    <w:rsid w:val="006E55BD"/>
    <w:rsid w:val="006E7844"/>
    <w:rsid w:val="006F2DA2"/>
    <w:rsid w:val="006F36EF"/>
    <w:rsid w:val="00700ACF"/>
    <w:rsid w:val="0070221F"/>
    <w:rsid w:val="00706959"/>
    <w:rsid w:val="00712487"/>
    <w:rsid w:val="007207E9"/>
    <w:rsid w:val="00731901"/>
    <w:rsid w:val="00732B2B"/>
    <w:rsid w:val="007413CC"/>
    <w:rsid w:val="0074593E"/>
    <w:rsid w:val="00747E2E"/>
    <w:rsid w:val="007530CA"/>
    <w:rsid w:val="00754FCE"/>
    <w:rsid w:val="00756D68"/>
    <w:rsid w:val="007578D9"/>
    <w:rsid w:val="00757DC3"/>
    <w:rsid w:val="00757E8A"/>
    <w:rsid w:val="00763E43"/>
    <w:rsid w:val="00764EB5"/>
    <w:rsid w:val="00774AB3"/>
    <w:rsid w:val="00777A95"/>
    <w:rsid w:val="00780352"/>
    <w:rsid w:val="00782416"/>
    <w:rsid w:val="00783144"/>
    <w:rsid w:val="00785A96"/>
    <w:rsid w:val="00786C14"/>
    <w:rsid w:val="00793325"/>
    <w:rsid w:val="00793939"/>
    <w:rsid w:val="007939BF"/>
    <w:rsid w:val="00794DC6"/>
    <w:rsid w:val="00797ADC"/>
    <w:rsid w:val="007B0364"/>
    <w:rsid w:val="007B430A"/>
    <w:rsid w:val="007C47DA"/>
    <w:rsid w:val="007C76DB"/>
    <w:rsid w:val="007D0981"/>
    <w:rsid w:val="007D1929"/>
    <w:rsid w:val="007D584F"/>
    <w:rsid w:val="007E35B0"/>
    <w:rsid w:val="007E524A"/>
    <w:rsid w:val="007F65FC"/>
    <w:rsid w:val="00802F15"/>
    <w:rsid w:val="00803CF1"/>
    <w:rsid w:val="008104BB"/>
    <w:rsid w:val="00811463"/>
    <w:rsid w:val="008142F6"/>
    <w:rsid w:val="00814686"/>
    <w:rsid w:val="008160F3"/>
    <w:rsid w:val="00816485"/>
    <w:rsid w:val="00822ADC"/>
    <w:rsid w:val="008249C5"/>
    <w:rsid w:val="008252AE"/>
    <w:rsid w:val="00826369"/>
    <w:rsid w:val="0083408B"/>
    <w:rsid w:val="008361FB"/>
    <w:rsid w:val="008526F9"/>
    <w:rsid w:val="0085285E"/>
    <w:rsid w:val="00853023"/>
    <w:rsid w:val="008534D4"/>
    <w:rsid w:val="00853C1F"/>
    <w:rsid w:val="00860B3B"/>
    <w:rsid w:val="008612DE"/>
    <w:rsid w:val="00861A5B"/>
    <w:rsid w:val="00863617"/>
    <w:rsid w:val="008647E1"/>
    <w:rsid w:val="00865224"/>
    <w:rsid w:val="0087685E"/>
    <w:rsid w:val="00881E28"/>
    <w:rsid w:val="008867FE"/>
    <w:rsid w:val="008942F3"/>
    <w:rsid w:val="00894C4B"/>
    <w:rsid w:val="008A12E3"/>
    <w:rsid w:val="008A42FA"/>
    <w:rsid w:val="008B0AC7"/>
    <w:rsid w:val="008B63FA"/>
    <w:rsid w:val="008B6FBD"/>
    <w:rsid w:val="008B7D35"/>
    <w:rsid w:val="008C2335"/>
    <w:rsid w:val="008C2599"/>
    <w:rsid w:val="008C5ED6"/>
    <w:rsid w:val="008C67C1"/>
    <w:rsid w:val="008D1D39"/>
    <w:rsid w:val="008D3F76"/>
    <w:rsid w:val="008F07D2"/>
    <w:rsid w:val="008F196A"/>
    <w:rsid w:val="008F4187"/>
    <w:rsid w:val="008F439C"/>
    <w:rsid w:val="00907371"/>
    <w:rsid w:val="00911B4E"/>
    <w:rsid w:val="00917851"/>
    <w:rsid w:val="00917F65"/>
    <w:rsid w:val="00920FA0"/>
    <w:rsid w:val="00924CE1"/>
    <w:rsid w:val="0092649D"/>
    <w:rsid w:val="009311E7"/>
    <w:rsid w:val="00932E1E"/>
    <w:rsid w:val="0093743E"/>
    <w:rsid w:val="00941ADA"/>
    <w:rsid w:val="00942694"/>
    <w:rsid w:val="009439C6"/>
    <w:rsid w:val="00944483"/>
    <w:rsid w:val="0095105A"/>
    <w:rsid w:val="00952BF7"/>
    <w:rsid w:val="0095488D"/>
    <w:rsid w:val="00964175"/>
    <w:rsid w:val="009659DD"/>
    <w:rsid w:val="009702DF"/>
    <w:rsid w:val="009747F5"/>
    <w:rsid w:val="00980E9E"/>
    <w:rsid w:val="00981345"/>
    <w:rsid w:val="00991814"/>
    <w:rsid w:val="00995AF5"/>
    <w:rsid w:val="009A0783"/>
    <w:rsid w:val="009A7162"/>
    <w:rsid w:val="009A7E3A"/>
    <w:rsid w:val="009B1265"/>
    <w:rsid w:val="009B2352"/>
    <w:rsid w:val="009B4A15"/>
    <w:rsid w:val="009B5693"/>
    <w:rsid w:val="009BAEE6"/>
    <w:rsid w:val="009C18CB"/>
    <w:rsid w:val="009C22DA"/>
    <w:rsid w:val="009C61A2"/>
    <w:rsid w:val="009C702F"/>
    <w:rsid w:val="009C78E4"/>
    <w:rsid w:val="009D058C"/>
    <w:rsid w:val="009D1ECE"/>
    <w:rsid w:val="009D65BF"/>
    <w:rsid w:val="009D687E"/>
    <w:rsid w:val="009E0446"/>
    <w:rsid w:val="009F0B4F"/>
    <w:rsid w:val="009F6DE7"/>
    <w:rsid w:val="00A04619"/>
    <w:rsid w:val="00A05071"/>
    <w:rsid w:val="00A10583"/>
    <w:rsid w:val="00A116F8"/>
    <w:rsid w:val="00A1196F"/>
    <w:rsid w:val="00A15B09"/>
    <w:rsid w:val="00A32716"/>
    <w:rsid w:val="00A334D1"/>
    <w:rsid w:val="00A3731F"/>
    <w:rsid w:val="00A37FCB"/>
    <w:rsid w:val="00A4642F"/>
    <w:rsid w:val="00A500A4"/>
    <w:rsid w:val="00A51C6D"/>
    <w:rsid w:val="00A54863"/>
    <w:rsid w:val="00A560A3"/>
    <w:rsid w:val="00A57556"/>
    <w:rsid w:val="00A60E27"/>
    <w:rsid w:val="00A61A0F"/>
    <w:rsid w:val="00A61D74"/>
    <w:rsid w:val="00A62D2D"/>
    <w:rsid w:val="00A63296"/>
    <w:rsid w:val="00A714A5"/>
    <w:rsid w:val="00A72742"/>
    <w:rsid w:val="00A803C4"/>
    <w:rsid w:val="00A818A8"/>
    <w:rsid w:val="00A851C9"/>
    <w:rsid w:val="00A853D0"/>
    <w:rsid w:val="00A8688B"/>
    <w:rsid w:val="00A91163"/>
    <w:rsid w:val="00A9286F"/>
    <w:rsid w:val="00A956B4"/>
    <w:rsid w:val="00A96255"/>
    <w:rsid w:val="00AA0750"/>
    <w:rsid w:val="00AA5960"/>
    <w:rsid w:val="00AB119D"/>
    <w:rsid w:val="00AB2681"/>
    <w:rsid w:val="00AB285B"/>
    <w:rsid w:val="00AB2F31"/>
    <w:rsid w:val="00AC0F92"/>
    <w:rsid w:val="00AC2FB4"/>
    <w:rsid w:val="00AD15DD"/>
    <w:rsid w:val="00AD36DA"/>
    <w:rsid w:val="00AE24FF"/>
    <w:rsid w:val="00AF5552"/>
    <w:rsid w:val="00AF5CB4"/>
    <w:rsid w:val="00AF5ED1"/>
    <w:rsid w:val="00AF71D6"/>
    <w:rsid w:val="00B01FA9"/>
    <w:rsid w:val="00B02C05"/>
    <w:rsid w:val="00B06D9B"/>
    <w:rsid w:val="00B116EC"/>
    <w:rsid w:val="00B12C29"/>
    <w:rsid w:val="00B14949"/>
    <w:rsid w:val="00B15A6E"/>
    <w:rsid w:val="00B16AA2"/>
    <w:rsid w:val="00B17E55"/>
    <w:rsid w:val="00B216EE"/>
    <w:rsid w:val="00B216F9"/>
    <w:rsid w:val="00B23130"/>
    <w:rsid w:val="00B27531"/>
    <w:rsid w:val="00B30FB0"/>
    <w:rsid w:val="00B31070"/>
    <w:rsid w:val="00B3175F"/>
    <w:rsid w:val="00B31E2C"/>
    <w:rsid w:val="00B329B0"/>
    <w:rsid w:val="00B370F4"/>
    <w:rsid w:val="00B402D8"/>
    <w:rsid w:val="00B4069C"/>
    <w:rsid w:val="00B4237C"/>
    <w:rsid w:val="00B4275C"/>
    <w:rsid w:val="00B42FE8"/>
    <w:rsid w:val="00B4784D"/>
    <w:rsid w:val="00B52AFD"/>
    <w:rsid w:val="00B54077"/>
    <w:rsid w:val="00B608F5"/>
    <w:rsid w:val="00B66157"/>
    <w:rsid w:val="00B66601"/>
    <w:rsid w:val="00B73DFA"/>
    <w:rsid w:val="00B756B8"/>
    <w:rsid w:val="00B76B18"/>
    <w:rsid w:val="00B8087E"/>
    <w:rsid w:val="00B920DF"/>
    <w:rsid w:val="00BA4E17"/>
    <w:rsid w:val="00BB1EEB"/>
    <w:rsid w:val="00BB3FFD"/>
    <w:rsid w:val="00BB646E"/>
    <w:rsid w:val="00BD1BA1"/>
    <w:rsid w:val="00BD32EB"/>
    <w:rsid w:val="00BD3DED"/>
    <w:rsid w:val="00BD6D48"/>
    <w:rsid w:val="00BE3D94"/>
    <w:rsid w:val="00C019E5"/>
    <w:rsid w:val="00C0269D"/>
    <w:rsid w:val="00C02E19"/>
    <w:rsid w:val="00C02F0F"/>
    <w:rsid w:val="00C03F0D"/>
    <w:rsid w:val="00C049A5"/>
    <w:rsid w:val="00C23DEE"/>
    <w:rsid w:val="00C33978"/>
    <w:rsid w:val="00C34186"/>
    <w:rsid w:val="00C34671"/>
    <w:rsid w:val="00C35A86"/>
    <w:rsid w:val="00C35BC4"/>
    <w:rsid w:val="00C43F5B"/>
    <w:rsid w:val="00C47564"/>
    <w:rsid w:val="00C5100F"/>
    <w:rsid w:val="00C5260D"/>
    <w:rsid w:val="00C655A5"/>
    <w:rsid w:val="00C71B2E"/>
    <w:rsid w:val="00C75A41"/>
    <w:rsid w:val="00C75F97"/>
    <w:rsid w:val="00C8076D"/>
    <w:rsid w:val="00C96E3B"/>
    <w:rsid w:val="00CA1A97"/>
    <w:rsid w:val="00CA60D3"/>
    <w:rsid w:val="00CB4371"/>
    <w:rsid w:val="00CB769D"/>
    <w:rsid w:val="00CC0D1F"/>
    <w:rsid w:val="00CC0FC1"/>
    <w:rsid w:val="00CC38A9"/>
    <w:rsid w:val="00CC516D"/>
    <w:rsid w:val="00CD6137"/>
    <w:rsid w:val="00CD73EC"/>
    <w:rsid w:val="00CE1646"/>
    <w:rsid w:val="00CE3F96"/>
    <w:rsid w:val="00CF0505"/>
    <w:rsid w:val="00CF122C"/>
    <w:rsid w:val="00CF2689"/>
    <w:rsid w:val="00CF30A0"/>
    <w:rsid w:val="00D16EFC"/>
    <w:rsid w:val="00D213EF"/>
    <w:rsid w:val="00D21ACA"/>
    <w:rsid w:val="00D23A48"/>
    <w:rsid w:val="00D24330"/>
    <w:rsid w:val="00D25FD6"/>
    <w:rsid w:val="00D274E4"/>
    <w:rsid w:val="00D40056"/>
    <w:rsid w:val="00D4198E"/>
    <w:rsid w:val="00D42D1F"/>
    <w:rsid w:val="00D51E7C"/>
    <w:rsid w:val="00D54F29"/>
    <w:rsid w:val="00D569DD"/>
    <w:rsid w:val="00D6226F"/>
    <w:rsid w:val="00D63D9E"/>
    <w:rsid w:val="00D7020C"/>
    <w:rsid w:val="00D70AD9"/>
    <w:rsid w:val="00D70F5D"/>
    <w:rsid w:val="00D72152"/>
    <w:rsid w:val="00D82F3A"/>
    <w:rsid w:val="00D92EFE"/>
    <w:rsid w:val="00D94BA5"/>
    <w:rsid w:val="00D9510F"/>
    <w:rsid w:val="00DA3FFB"/>
    <w:rsid w:val="00DA4F0B"/>
    <w:rsid w:val="00DA57CF"/>
    <w:rsid w:val="00DA615C"/>
    <w:rsid w:val="00DA6FBE"/>
    <w:rsid w:val="00DC2A06"/>
    <w:rsid w:val="00DC6026"/>
    <w:rsid w:val="00DD17E5"/>
    <w:rsid w:val="00DD1BC6"/>
    <w:rsid w:val="00DD1D49"/>
    <w:rsid w:val="00DE1685"/>
    <w:rsid w:val="00DE32C1"/>
    <w:rsid w:val="00DE3993"/>
    <w:rsid w:val="00DE5DC3"/>
    <w:rsid w:val="00DF2186"/>
    <w:rsid w:val="00DF302D"/>
    <w:rsid w:val="00E001BD"/>
    <w:rsid w:val="00E00D8A"/>
    <w:rsid w:val="00E0383C"/>
    <w:rsid w:val="00E03ABA"/>
    <w:rsid w:val="00E1050F"/>
    <w:rsid w:val="00E11604"/>
    <w:rsid w:val="00E11D92"/>
    <w:rsid w:val="00E120D7"/>
    <w:rsid w:val="00E130A0"/>
    <w:rsid w:val="00E13F8E"/>
    <w:rsid w:val="00E210C4"/>
    <w:rsid w:val="00E21684"/>
    <w:rsid w:val="00E22F28"/>
    <w:rsid w:val="00E23DB7"/>
    <w:rsid w:val="00E416F6"/>
    <w:rsid w:val="00E46BA5"/>
    <w:rsid w:val="00E46D96"/>
    <w:rsid w:val="00E52CCA"/>
    <w:rsid w:val="00E535EB"/>
    <w:rsid w:val="00E57F93"/>
    <w:rsid w:val="00E65E17"/>
    <w:rsid w:val="00E66409"/>
    <w:rsid w:val="00E72703"/>
    <w:rsid w:val="00E8003E"/>
    <w:rsid w:val="00E81D5B"/>
    <w:rsid w:val="00E82419"/>
    <w:rsid w:val="00E9356A"/>
    <w:rsid w:val="00E95C70"/>
    <w:rsid w:val="00E96251"/>
    <w:rsid w:val="00E976B9"/>
    <w:rsid w:val="00EA05D3"/>
    <w:rsid w:val="00EB19AD"/>
    <w:rsid w:val="00EB2F31"/>
    <w:rsid w:val="00EB6493"/>
    <w:rsid w:val="00EC005E"/>
    <w:rsid w:val="00EC07B2"/>
    <w:rsid w:val="00EC263E"/>
    <w:rsid w:val="00EC2915"/>
    <w:rsid w:val="00EC6596"/>
    <w:rsid w:val="00EC71C9"/>
    <w:rsid w:val="00ED05A9"/>
    <w:rsid w:val="00ED1BA0"/>
    <w:rsid w:val="00EE1BBF"/>
    <w:rsid w:val="00EF26E7"/>
    <w:rsid w:val="00F04E7D"/>
    <w:rsid w:val="00F05514"/>
    <w:rsid w:val="00F1238E"/>
    <w:rsid w:val="00F123D4"/>
    <w:rsid w:val="00F16943"/>
    <w:rsid w:val="00F17257"/>
    <w:rsid w:val="00F22E01"/>
    <w:rsid w:val="00F27E26"/>
    <w:rsid w:val="00F34898"/>
    <w:rsid w:val="00F34D24"/>
    <w:rsid w:val="00F37536"/>
    <w:rsid w:val="00F3798C"/>
    <w:rsid w:val="00F40DDA"/>
    <w:rsid w:val="00F4115F"/>
    <w:rsid w:val="00F4130B"/>
    <w:rsid w:val="00F4244B"/>
    <w:rsid w:val="00F4711B"/>
    <w:rsid w:val="00F54138"/>
    <w:rsid w:val="00F556A2"/>
    <w:rsid w:val="00F66CA7"/>
    <w:rsid w:val="00F719A8"/>
    <w:rsid w:val="00F732F9"/>
    <w:rsid w:val="00F73866"/>
    <w:rsid w:val="00F7713B"/>
    <w:rsid w:val="00F77280"/>
    <w:rsid w:val="00F8352B"/>
    <w:rsid w:val="00F878B9"/>
    <w:rsid w:val="00FA2A18"/>
    <w:rsid w:val="00FB24E8"/>
    <w:rsid w:val="00FB2935"/>
    <w:rsid w:val="00FB3B2B"/>
    <w:rsid w:val="00FB4D2E"/>
    <w:rsid w:val="00FB5458"/>
    <w:rsid w:val="00FB5D01"/>
    <w:rsid w:val="00FC18DA"/>
    <w:rsid w:val="00FC2F46"/>
    <w:rsid w:val="00FC3917"/>
    <w:rsid w:val="00FC6A3A"/>
    <w:rsid w:val="00FD2EAD"/>
    <w:rsid w:val="00FD60DA"/>
    <w:rsid w:val="00FD7404"/>
    <w:rsid w:val="00FD741A"/>
    <w:rsid w:val="00FE118F"/>
    <w:rsid w:val="00FE68D3"/>
    <w:rsid w:val="00FF0427"/>
    <w:rsid w:val="00FF07B4"/>
    <w:rsid w:val="00FF2151"/>
    <w:rsid w:val="00FF53F8"/>
    <w:rsid w:val="00FF7842"/>
    <w:rsid w:val="016C63B8"/>
    <w:rsid w:val="01B3EA5D"/>
    <w:rsid w:val="01FD6A3B"/>
    <w:rsid w:val="02A9D85F"/>
    <w:rsid w:val="03D2EB01"/>
    <w:rsid w:val="03F98E94"/>
    <w:rsid w:val="04A62F89"/>
    <w:rsid w:val="04AA85A7"/>
    <w:rsid w:val="06575F09"/>
    <w:rsid w:val="0680066D"/>
    <w:rsid w:val="0814B391"/>
    <w:rsid w:val="097218C8"/>
    <w:rsid w:val="09A05AF5"/>
    <w:rsid w:val="0B921490"/>
    <w:rsid w:val="0BD2E832"/>
    <w:rsid w:val="0CA6231D"/>
    <w:rsid w:val="0D52C412"/>
    <w:rsid w:val="0D7967A5"/>
    <w:rsid w:val="0E26089A"/>
    <w:rsid w:val="0E94CB45"/>
    <w:rsid w:val="0EFC427A"/>
    <w:rsid w:val="0F40FBFE"/>
    <w:rsid w:val="0F45C258"/>
    <w:rsid w:val="0F60BABA"/>
    <w:rsid w:val="0FD2E1FC"/>
    <w:rsid w:val="101BC91D"/>
    <w:rsid w:val="10D0BA56"/>
    <w:rsid w:val="119459D1"/>
    <w:rsid w:val="11C5E042"/>
    <w:rsid w:val="1336E8C8"/>
    <w:rsid w:val="13C52CC4"/>
    <w:rsid w:val="13CEC677"/>
    <w:rsid w:val="14E4F01F"/>
    <w:rsid w:val="15CF32F0"/>
    <w:rsid w:val="15E40434"/>
    <w:rsid w:val="168AB0DC"/>
    <w:rsid w:val="1736E292"/>
    <w:rsid w:val="1A22CDCF"/>
    <w:rsid w:val="1A95C4C9"/>
    <w:rsid w:val="1AB44391"/>
    <w:rsid w:val="1B0F422F"/>
    <w:rsid w:val="1B23FBF5"/>
    <w:rsid w:val="1BB357A6"/>
    <w:rsid w:val="1BFCA4B3"/>
    <w:rsid w:val="1CCBC5EE"/>
    <w:rsid w:val="1D59D719"/>
    <w:rsid w:val="1DC8CDB5"/>
    <w:rsid w:val="1E337590"/>
    <w:rsid w:val="1EA56A01"/>
    <w:rsid w:val="1EC355C9"/>
    <w:rsid w:val="204FB3AD"/>
    <w:rsid w:val="2125ED8D"/>
    <w:rsid w:val="2197AF2D"/>
    <w:rsid w:val="2213EE09"/>
    <w:rsid w:val="22A70B67"/>
    <w:rsid w:val="242FC684"/>
    <w:rsid w:val="24670E71"/>
    <w:rsid w:val="24F88433"/>
    <w:rsid w:val="25060064"/>
    <w:rsid w:val="254F8042"/>
    <w:rsid w:val="25C174B3"/>
    <w:rsid w:val="26786013"/>
    <w:rsid w:val="27A9E71D"/>
    <w:rsid w:val="27EA968E"/>
    <w:rsid w:val="28B3870E"/>
    <w:rsid w:val="2B66C998"/>
    <w:rsid w:val="2BF0E3AC"/>
    <w:rsid w:val="2D0925BE"/>
    <w:rsid w:val="2D9A9B80"/>
    <w:rsid w:val="2EBD5433"/>
    <w:rsid w:val="2EE42A97"/>
    <w:rsid w:val="2F5C4626"/>
    <w:rsid w:val="2FF83924"/>
    <w:rsid w:val="3089EB54"/>
    <w:rsid w:val="30ABFC5B"/>
    <w:rsid w:val="32E5F561"/>
    <w:rsid w:val="3589EABA"/>
    <w:rsid w:val="36170A5E"/>
    <w:rsid w:val="363658DE"/>
    <w:rsid w:val="38837744"/>
    <w:rsid w:val="38F418A4"/>
    <w:rsid w:val="39AFFC32"/>
    <w:rsid w:val="39F12685"/>
    <w:rsid w:val="3C2C82B4"/>
    <w:rsid w:val="3CA49E43"/>
    <w:rsid w:val="3CE7057C"/>
    <w:rsid w:val="3E065998"/>
    <w:rsid w:val="3E46FA69"/>
    <w:rsid w:val="3E58CCB8"/>
    <w:rsid w:val="3EA257F3"/>
    <w:rsid w:val="3EF7BEAB"/>
    <w:rsid w:val="3F056DAD"/>
    <w:rsid w:val="3F48E19D"/>
    <w:rsid w:val="3F4A976D"/>
    <w:rsid w:val="3F96B09E"/>
    <w:rsid w:val="3FE0307C"/>
    <w:rsid w:val="401DDBF5"/>
    <w:rsid w:val="40DF4491"/>
    <w:rsid w:val="41708782"/>
    <w:rsid w:val="41858B97"/>
    <w:rsid w:val="42B8B5D3"/>
    <w:rsid w:val="42B8E8A4"/>
    <w:rsid w:val="43192BCE"/>
    <w:rsid w:val="43A1C9B4"/>
    <w:rsid w:val="43A8AF88"/>
    <w:rsid w:val="441680AC"/>
    <w:rsid w:val="44BA052B"/>
    <w:rsid w:val="45AAFAFF"/>
    <w:rsid w:val="45BFFF14"/>
    <w:rsid w:val="46745ABE"/>
    <w:rsid w:val="46C7BF65"/>
    <w:rsid w:val="473FDAF4"/>
    <w:rsid w:val="47A45AA9"/>
    <w:rsid w:val="49138ABA"/>
    <w:rsid w:val="49380C7D"/>
    <w:rsid w:val="49CA761A"/>
    <w:rsid w:val="4B4A5B97"/>
    <w:rsid w:val="4C059D15"/>
    <w:rsid w:val="4C4016C8"/>
    <w:rsid w:val="4CBC8875"/>
    <w:rsid w:val="4CDF08BB"/>
    <w:rsid w:val="4D288899"/>
    <w:rsid w:val="4DFA9F2C"/>
    <w:rsid w:val="4F3FD825"/>
    <w:rsid w:val="4F92B716"/>
    <w:rsid w:val="501644D6"/>
    <w:rsid w:val="50C08D2E"/>
    <w:rsid w:val="510F976F"/>
    <w:rsid w:val="5119AF09"/>
    <w:rsid w:val="515ED8C9"/>
    <w:rsid w:val="525A11A4"/>
    <w:rsid w:val="52C2D213"/>
    <w:rsid w:val="5384C8DE"/>
    <w:rsid w:val="53A781E2"/>
    <w:rsid w:val="53CFAB17"/>
    <w:rsid w:val="549C0836"/>
    <w:rsid w:val="56DB5379"/>
    <w:rsid w:val="56E9027B"/>
    <w:rsid w:val="584A8AFF"/>
    <w:rsid w:val="59886EE5"/>
    <w:rsid w:val="5B6FC1FA"/>
    <w:rsid w:val="5DA393E2"/>
    <w:rsid w:val="5DAEDA6F"/>
    <w:rsid w:val="5E61D455"/>
    <w:rsid w:val="5EAB5433"/>
    <w:rsid w:val="61541981"/>
    <w:rsid w:val="63324683"/>
    <w:rsid w:val="63B90C38"/>
    <w:rsid w:val="64667776"/>
    <w:rsid w:val="64C29D89"/>
    <w:rsid w:val="65079478"/>
    <w:rsid w:val="66574AAD"/>
    <w:rsid w:val="6676CBFE"/>
    <w:rsid w:val="66D682CE"/>
    <w:rsid w:val="66D816C7"/>
    <w:rsid w:val="66E4871E"/>
    <w:rsid w:val="67236CF3"/>
    <w:rsid w:val="6786D63D"/>
    <w:rsid w:val="67C68233"/>
    <w:rsid w:val="680C1B32"/>
    <w:rsid w:val="69423AC6"/>
    <w:rsid w:val="6C65A0C1"/>
    <w:rsid w:val="6D1C8C21"/>
    <w:rsid w:val="6DC92D16"/>
    <w:rsid w:val="6E34C798"/>
    <w:rsid w:val="6E9C719E"/>
    <w:rsid w:val="6EE2831E"/>
    <w:rsid w:val="6F57B31C"/>
    <w:rsid w:val="6F922CCF"/>
    <w:rsid w:val="7053956B"/>
    <w:rsid w:val="70AD906F"/>
    <w:rsid w:val="7179B2B5"/>
    <w:rsid w:val="7192DA17"/>
    <w:rsid w:val="72340FF0"/>
    <w:rsid w:val="7291EE2C"/>
    <w:rsid w:val="738D3D84"/>
    <w:rsid w:val="73DA821F"/>
    <w:rsid w:val="742675DF"/>
    <w:rsid w:val="74701B2E"/>
    <w:rsid w:val="75618041"/>
    <w:rsid w:val="758856A5"/>
    <w:rsid w:val="7637ECF2"/>
    <w:rsid w:val="7638617B"/>
    <w:rsid w:val="767CE3E1"/>
    <w:rsid w:val="768A92E3"/>
    <w:rsid w:val="76D0B7C7"/>
    <w:rsid w:val="76D6DEE5"/>
    <w:rsid w:val="77DA4918"/>
    <w:rsid w:val="7853929C"/>
    <w:rsid w:val="7928FB7E"/>
    <w:rsid w:val="793C046D"/>
    <w:rsid w:val="7979AFE6"/>
    <w:rsid w:val="7AA97251"/>
    <w:rsid w:val="7B5353F9"/>
    <w:rsid w:val="7B9CA106"/>
    <w:rsid w:val="7C011946"/>
    <w:rsid w:val="7CA63257"/>
    <w:rsid w:val="7CBB366C"/>
    <w:rsid w:val="7D56F699"/>
    <w:rsid w:val="7DD3D785"/>
    <w:rsid w:val="7DEB9E21"/>
    <w:rsid w:val="7EB7F338"/>
    <w:rsid w:val="7FDA4649"/>
    <w:rsid w:val="7FDCAF32"/>
    <w:rsid w:val="7FFCBC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Ttulo1">
    <w:name w:val="heading 1"/>
    <w:basedOn w:val="Normal"/>
    <w:next w:val="Normal"/>
    <w:link w:val="Ttulo1C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Textodeglobo">
    <w:name w:val="Balloon Text"/>
    <w:basedOn w:val="Normal"/>
    <w:link w:val="TextodegloboCar"/>
    <w:uiPriority w:val="99"/>
    <w:semiHidden/>
    <w:unhideWhenUsed/>
    <w:rsid w:val="00D70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AD9"/>
    <w:rPr>
      <w:rFonts w:ascii="Tahoma" w:hAnsi="Tahoma" w:cs="Tahoma"/>
      <w:sz w:val="16"/>
      <w:szCs w:val="16"/>
    </w:rPr>
  </w:style>
  <w:style w:type="character" w:styleId="Refdecomentario">
    <w:name w:val="annotation reference"/>
    <w:basedOn w:val="Fuentedeprrafopredeter"/>
    <w:uiPriority w:val="99"/>
    <w:semiHidden/>
    <w:unhideWhenUsed/>
    <w:rsid w:val="00A61D74"/>
    <w:rPr>
      <w:sz w:val="16"/>
      <w:szCs w:val="16"/>
    </w:rPr>
  </w:style>
  <w:style w:type="paragraph" w:styleId="Textocomentario">
    <w:name w:val="annotation text"/>
    <w:basedOn w:val="Normal"/>
    <w:link w:val="TextocomentarioCar"/>
    <w:uiPriority w:val="99"/>
    <w:unhideWhenUsed/>
    <w:rsid w:val="00FB5D01"/>
    <w:pPr>
      <w:spacing w:line="240" w:lineRule="auto"/>
    </w:pPr>
    <w:rPr>
      <w:sz w:val="20"/>
      <w:szCs w:val="20"/>
    </w:rPr>
  </w:style>
  <w:style w:type="character" w:customStyle="1" w:styleId="TextocomentarioCar">
    <w:name w:val="Texto comentario Car"/>
    <w:basedOn w:val="Fuentedeprrafopredeter"/>
    <w:link w:val="Textocomentario"/>
    <w:uiPriority w:val="99"/>
    <w:rsid w:val="00A61D74"/>
    <w:rPr>
      <w:sz w:val="20"/>
      <w:szCs w:val="20"/>
    </w:rPr>
  </w:style>
  <w:style w:type="paragraph" w:styleId="Asuntodelcomentario">
    <w:name w:val="annotation subject"/>
    <w:basedOn w:val="Textocomentario"/>
    <w:next w:val="Textocomentario"/>
    <w:link w:val="AsuntodelcomentarioCar"/>
    <w:uiPriority w:val="99"/>
    <w:semiHidden/>
    <w:unhideWhenUsed/>
    <w:rsid w:val="00A61D74"/>
    <w:rPr>
      <w:b/>
      <w:bCs/>
    </w:rPr>
  </w:style>
  <w:style w:type="character" w:customStyle="1" w:styleId="AsuntodelcomentarioCar">
    <w:name w:val="Asunto del comentario Car"/>
    <w:basedOn w:val="TextocomentarioCar"/>
    <w:link w:val="Asuntodelcomentario"/>
    <w:uiPriority w:val="99"/>
    <w:semiHidden/>
    <w:rsid w:val="00A61D74"/>
    <w:rPr>
      <w:b/>
      <w:bCs/>
      <w:sz w:val="20"/>
      <w:szCs w:val="20"/>
    </w:rPr>
  </w:style>
  <w:style w:type="paragraph" w:styleId="Prrafodelista">
    <w:name w:val="List Paragraph"/>
    <w:basedOn w:val="Normal"/>
    <w:uiPriority w:val="34"/>
    <w:qFormat/>
    <w:rsid w:val="00A61D74"/>
    <w:pPr>
      <w:ind w:left="720"/>
      <w:contextualSpacing/>
    </w:pPr>
  </w:style>
  <w:style w:type="character" w:styleId="Hipervnculo">
    <w:name w:val="Hyperlink"/>
    <w:basedOn w:val="Fuentedeprrafopredeter"/>
    <w:uiPriority w:val="99"/>
    <w:unhideWhenUsed/>
    <w:rsid w:val="00621893"/>
    <w:rPr>
      <w:color w:val="0000FF" w:themeColor="hyperlink"/>
      <w:u w:val="single"/>
    </w:rPr>
  </w:style>
  <w:style w:type="paragraph" w:styleId="Encabezado">
    <w:name w:val="header"/>
    <w:basedOn w:val="Normal"/>
    <w:link w:val="EncabezadoCar"/>
    <w:uiPriority w:val="99"/>
    <w:unhideWhenUsed/>
    <w:rsid w:val="00573C0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3C0B"/>
  </w:style>
  <w:style w:type="paragraph" w:styleId="Piedepgina">
    <w:name w:val="footer"/>
    <w:basedOn w:val="Normal"/>
    <w:link w:val="PiedepginaCar"/>
    <w:uiPriority w:val="99"/>
    <w:unhideWhenUsed/>
    <w:rsid w:val="00573C0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Fuentedeprrafopredeter"/>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Fuentedeprrafopredeter"/>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Fuentedeprrafopredeter"/>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Fuentedeprrafopredeter"/>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Fuentedeprrafopredeter"/>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Fuentedeprrafopredeter"/>
    <w:uiPriority w:val="99"/>
    <w:semiHidden/>
    <w:unhideWhenUsed/>
    <w:rsid w:val="00B329B0"/>
    <w:rPr>
      <w:color w:val="808080"/>
      <w:shd w:val="clear" w:color="auto" w:fill="E6E6E6"/>
    </w:rPr>
  </w:style>
  <w:style w:type="character" w:styleId="Textodelmarcadordeposicin">
    <w:name w:val="Placeholder Text"/>
    <w:basedOn w:val="Fuentedeprrafopredeter"/>
    <w:uiPriority w:val="99"/>
    <w:semiHidden/>
    <w:rsid w:val="00B329B0"/>
    <w:rPr>
      <w:color w:val="808080"/>
    </w:rPr>
  </w:style>
  <w:style w:type="table" w:styleId="Tablaconcuadrcula">
    <w:name w:val="Table Grid"/>
    <w:basedOn w:val="Tabla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96255"/>
    <w:pPr>
      <w:spacing w:after="0" w:line="240" w:lineRule="auto"/>
    </w:pPr>
    <w:rPr>
      <w:rFonts w:eastAsiaTheme="minorHAnsi"/>
      <w:sz w:val="20"/>
      <w:szCs w:val="20"/>
      <w:lang w:val="en-US" w:eastAsia="en-US"/>
    </w:rPr>
  </w:style>
  <w:style w:type="character" w:customStyle="1" w:styleId="TextonotaalfinalCar">
    <w:name w:val="Texto nota al final Car"/>
    <w:basedOn w:val="Fuentedeprrafopredeter"/>
    <w:link w:val="Textonotaalfinal"/>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n">
    <w:name w:val="Revision"/>
    <w:hidden/>
    <w:uiPriority w:val="99"/>
    <w:semiHidden/>
    <w:rsid w:val="00853C1F"/>
    <w:pPr>
      <w:spacing w:after="0" w:line="240" w:lineRule="auto"/>
    </w:pPr>
  </w:style>
  <w:style w:type="character" w:customStyle="1" w:styleId="ui-provider">
    <w:name w:val="ui-provider"/>
    <w:basedOn w:val="Fuentedeprrafopredeter"/>
    <w:rsid w:val="00304CFB"/>
  </w:style>
  <w:style w:type="character" w:styleId="Mencinsinresolver">
    <w:name w:val="Unresolved Mention"/>
    <w:basedOn w:val="Fuentedeprrafopredeter"/>
    <w:uiPriority w:val="99"/>
    <w:semiHidden/>
    <w:unhideWhenUsed/>
    <w:rsid w:val="00FB5D01"/>
    <w:rPr>
      <w:color w:val="605E5C"/>
      <w:shd w:val="clear" w:color="auto" w:fill="E1DFDD"/>
    </w:rPr>
  </w:style>
  <w:style w:type="character" w:styleId="Hipervnculovisitado">
    <w:name w:val="FollowedHyperlink"/>
    <w:basedOn w:val="Fuentedeprrafopredeter"/>
    <w:uiPriority w:val="99"/>
    <w:semiHidden/>
    <w:unhideWhenUsed/>
    <w:rsid w:val="00F4115F"/>
    <w:rPr>
      <w:color w:val="800080" w:themeColor="followedHyperlink"/>
      <w:u w:val="single"/>
    </w:rPr>
  </w:style>
  <w:style w:type="paragraph" w:styleId="NormalWeb">
    <w:name w:val="Normal (Web)"/>
    <w:basedOn w:val="Normal"/>
    <w:uiPriority w:val="99"/>
    <w:semiHidden/>
    <w:unhideWhenUsed/>
    <w:rsid w:val="00CD73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5917">
      <w:bodyDiv w:val="1"/>
      <w:marLeft w:val="0"/>
      <w:marRight w:val="0"/>
      <w:marTop w:val="0"/>
      <w:marBottom w:val="0"/>
      <w:divBdr>
        <w:top w:val="none" w:sz="0" w:space="0" w:color="auto"/>
        <w:left w:val="none" w:sz="0" w:space="0" w:color="auto"/>
        <w:bottom w:val="none" w:sz="0" w:space="0" w:color="auto"/>
        <w:right w:val="none" w:sz="0" w:space="0" w:color="auto"/>
      </w:divBdr>
    </w:div>
    <w:div w:id="60831371">
      <w:bodyDiv w:val="1"/>
      <w:marLeft w:val="0"/>
      <w:marRight w:val="0"/>
      <w:marTop w:val="0"/>
      <w:marBottom w:val="0"/>
      <w:divBdr>
        <w:top w:val="none" w:sz="0" w:space="0" w:color="auto"/>
        <w:left w:val="none" w:sz="0" w:space="0" w:color="auto"/>
        <w:bottom w:val="none" w:sz="0" w:space="0" w:color="auto"/>
        <w:right w:val="none" w:sz="0" w:space="0" w:color="auto"/>
      </w:divBdr>
    </w:div>
    <w:div w:id="61761555">
      <w:bodyDiv w:val="1"/>
      <w:marLeft w:val="0"/>
      <w:marRight w:val="0"/>
      <w:marTop w:val="0"/>
      <w:marBottom w:val="0"/>
      <w:divBdr>
        <w:top w:val="none" w:sz="0" w:space="0" w:color="auto"/>
        <w:left w:val="none" w:sz="0" w:space="0" w:color="auto"/>
        <w:bottom w:val="none" w:sz="0" w:space="0" w:color="auto"/>
        <w:right w:val="none" w:sz="0" w:space="0" w:color="auto"/>
      </w:divBdr>
    </w:div>
    <w:div w:id="76750132">
      <w:bodyDiv w:val="1"/>
      <w:marLeft w:val="0"/>
      <w:marRight w:val="0"/>
      <w:marTop w:val="0"/>
      <w:marBottom w:val="0"/>
      <w:divBdr>
        <w:top w:val="none" w:sz="0" w:space="0" w:color="auto"/>
        <w:left w:val="none" w:sz="0" w:space="0" w:color="auto"/>
        <w:bottom w:val="none" w:sz="0" w:space="0" w:color="auto"/>
        <w:right w:val="none" w:sz="0" w:space="0" w:color="auto"/>
      </w:divBdr>
    </w:div>
    <w:div w:id="124585100">
      <w:bodyDiv w:val="1"/>
      <w:marLeft w:val="0"/>
      <w:marRight w:val="0"/>
      <w:marTop w:val="0"/>
      <w:marBottom w:val="0"/>
      <w:divBdr>
        <w:top w:val="none" w:sz="0" w:space="0" w:color="auto"/>
        <w:left w:val="none" w:sz="0" w:space="0" w:color="auto"/>
        <w:bottom w:val="none" w:sz="0" w:space="0" w:color="auto"/>
        <w:right w:val="none" w:sz="0" w:space="0" w:color="auto"/>
      </w:divBdr>
    </w:div>
    <w:div w:id="124811571">
      <w:bodyDiv w:val="1"/>
      <w:marLeft w:val="0"/>
      <w:marRight w:val="0"/>
      <w:marTop w:val="0"/>
      <w:marBottom w:val="0"/>
      <w:divBdr>
        <w:top w:val="none" w:sz="0" w:space="0" w:color="auto"/>
        <w:left w:val="none" w:sz="0" w:space="0" w:color="auto"/>
        <w:bottom w:val="none" w:sz="0" w:space="0" w:color="auto"/>
        <w:right w:val="none" w:sz="0" w:space="0" w:color="auto"/>
      </w:divBdr>
    </w:div>
    <w:div w:id="160196937">
      <w:bodyDiv w:val="1"/>
      <w:marLeft w:val="0"/>
      <w:marRight w:val="0"/>
      <w:marTop w:val="0"/>
      <w:marBottom w:val="0"/>
      <w:divBdr>
        <w:top w:val="none" w:sz="0" w:space="0" w:color="auto"/>
        <w:left w:val="none" w:sz="0" w:space="0" w:color="auto"/>
        <w:bottom w:val="none" w:sz="0" w:space="0" w:color="auto"/>
        <w:right w:val="none" w:sz="0" w:space="0" w:color="auto"/>
      </w:divBdr>
    </w:div>
    <w:div w:id="201749659">
      <w:bodyDiv w:val="1"/>
      <w:marLeft w:val="0"/>
      <w:marRight w:val="0"/>
      <w:marTop w:val="0"/>
      <w:marBottom w:val="0"/>
      <w:divBdr>
        <w:top w:val="none" w:sz="0" w:space="0" w:color="auto"/>
        <w:left w:val="none" w:sz="0" w:space="0" w:color="auto"/>
        <w:bottom w:val="none" w:sz="0" w:space="0" w:color="auto"/>
        <w:right w:val="none" w:sz="0" w:space="0" w:color="auto"/>
      </w:divBdr>
    </w:div>
    <w:div w:id="221184667">
      <w:bodyDiv w:val="1"/>
      <w:marLeft w:val="0"/>
      <w:marRight w:val="0"/>
      <w:marTop w:val="0"/>
      <w:marBottom w:val="0"/>
      <w:divBdr>
        <w:top w:val="none" w:sz="0" w:space="0" w:color="auto"/>
        <w:left w:val="none" w:sz="0" w:space="0" w:color="auto"/>
        <w:bottom w:val="none" w:sz="0" w:space="0" w:color="auto"/>
        <w:right w:val="none" w:sz="0" w:space="0" w:color="auto"/>
      </w:divBdr>
    </w:div>
    <w:div w:id="253901290">
      <w:bodyDiv w:val="1"/>
      <w:marLeft w:val="0"/>
      <w:marRight w:val="0"/>
      <w:marTop w:val="0"/>
      <w:marBottom w:val="0"/>
      <w:divBdr>
        <w:top w:val="none" w:sz="0" w:space="0" w:color="auto"/>
        <w:left w:val="none" w:sz="0" w:space="0" w:color="auto"/>
        <w:bottom w:val="none" w:sz="0" w:space="0" w:color="auto"/>
        <w:right w:val="none" w:sz="0" w:space="0" w:color="auto"/>
      </w:divBdr>
    </w:div>
    <w:div w:id="275605270">
      <w:bodyDiv w:val="1"/>
      <w:marLeft w:val="0"/>
      <w:marRight w:val="0"/>
      <w:marTop w:val="0"/>
      <w:marBottom w:val="0"/>
      <w:divBdr>
        <w:top w:val="none" w:sz="0" w:space="0" w:color="auto"/>
        <w:left w:val="none" w:sz="0" w:space="0" w:color="auto"/>
        <w:bottom w:val="none" w:sz="0" w:space="0" w:color="auto"/>
        <w:right w:val="none" w:sz="0" w:space="0" w:color="auto"/>
      </w:divBdr>
    </w:div>
    <w:div w:id="322126581">
      <w:bodyDiv w:val="1"/>
      <w:marLeft w:val="0"/>
      <w:marRight w:val="0"/>
      <w:marTop w:val="0"/>
      <w:marBottom w:val="0"/>
      <w:divBdr>
        <w:top w:val="none" w:sz="0" w:space="0" w:color="auto"/>
        <w:left w:val="none" w:sz="0" w:space="0" w:color="auto"/>
        <w:bottom w:val="none" w:sz="0" w:space="0" w:color="auto"/>
        <w:right w:val="none" w:sz="0" w:space="0" w:color="auto"/>
      </w:divBdr>
    </w:div>
    <w:div w:id="343098638">
      <w:bodyDiv w:val="1"/>
      <w:marLeft w:val="0"/>
      <w:marRight w:val="0"/>
      <w:marTop w:val="0"/>
      <w:marBottom w:val="0"/>
      <w:divBdr>
        <w:top w:val="none" w:sz="0" w:space="0" w:color="auto"/>
        <w:left w:val="none" w:sz="0" w:space="0" w:color="auto"/>
        <w:bottom w:val="none" w:sz="0" w:space="0" w:color="auto"/>
        <w:right w:val="none" w:sz="0" w:space="0" w:color="auto"/>
      </w:divBdr>
    </w:div>
    <w:div w:id="347175614">
      <w:bodyDiv w:val="1"/>
      <w:marLeft w:val="0"/>
      <w:marRight w:val="0"/>
      <w:marTop w:val="0"/>
      <w:marBottom w:val="0"/>
      <w:divBdr>
        <w:top w:val="none" w:sz="0" w:space="0" w:color="auto"/>
        <w:left w:val="none" w:sz="0" w:space="0" w:color="auto"/>
        <w:bottom w:val="none" w:sz="0" w:space="0" w:color="auto"/>
        <w:right w:val="none" w:sz="0" w:space="0" w:color="auto"/>
      </w:divBdr>
    </w:div>
    <w:div w:id="353239097">
      <w:bodyDiv w:val="1"/>
      <w:marLeft w:val="0"/>
      <w:marRight w:val="0"/>
      <w:marTop w:val="0"/>
      <w:marBottom w:val="0"/>
      <w:divBdr>
        <w:top w:val="none" w:sz="0" w:space="0" w:color="auto"/>
        <w:left w:val="none" w:sz="0" w:space="0" w:color="auto"/>
        <w:bottom w:val="none" w:sz="0" w:space="0" w:color="auto"/>
        <w:right w:val="none" w:sz="0" w:space="0" w:color="auto"/>
      </w:divBdr>
    </w:div>
    <w:div w:id="366027509">
      <w:bodyDiv w:val="1"/>
      <w:marLeft w:val="0"/>
      <w:marRight w:val="0"/>
      <w:marTop w:val="0"/>
      <w:marBottom w:val="0"/>
      <w:divBdr>
        <w:top w:val="none" w:sz="0" w:space="0" w:color="auto"/>
        <w:left w:val="none" w:sz="0" w:space="0" w:color="auto"/>
        <w:bottom w:val="none" w:sz="0" w:space="0" w:color="auto"/>
        <w:right w:val="none" w:sz="0" w:space="0" w:color="auto"/>
      </w:divBdr>
    </w:div>
    <w:div w:id="429274085">
      <w:bodyDiv w:val="1"/>
      <w:marLeft w:val="0"/>
      <w:marRight w:val="0"/>
      <w:marTop w:val="0"/>
      <w:marBottom w:val="0"/>
      <w:divBdr>
        <w:top w:val="none" w:sz="0" w:space="0" w:color="auto"/>
        <w:left w:val="none" w:sz="0" w:space="0" w:color="auto"/>
        <w:bottom w:val="none" w:sz="0" w:space="0" w:color="auto"/>
        <w:right w:val="none" w:sz="0" w:space="0" w:color="auto"/>
      </w:divBdr>
    </w:div>
    <w:div w:id="440956105">
      <w:bodyDiv w:val="1"/>
      <w:marLeft w:val="0"/>
      <w:marRight w:val="0"/>
      <w:marTop w:val="0"/>
      <w:marBottom w:val="0"/>
      <w:divBdr>
        <w:top w:val="none" w:sz="0" w:space="0" w:color="auto"/>
        <w:left w:val="none" w:sz="0" w:space="0" w:color="auto"/>
        <w:bottom w:val="none" w:sz="0" w:space="0" w:color="auto"/>
        <w:right w:val="none" w:sz="0" w:space="0" w:color="auto"/>
      </w:divBdr>
    </w:div>
    <w:div w:id="554006185">
      <w:bodyDiv w:val="1"/>
      <w:marLeft w:val="0"/>
      <w:marRight w:val="0"/>
      <w:marTop w:val="0"/>
      <w:marBottom w:val="0"/>
      <w:divBdr>
        <w:top w:val="none" w:sz="0" w:space="0" w:color="auto"/>
        <w:left w:val="none" w:sz="0" w:space="0" w:color="auto"/>
        <w:bottom w:val="none" w:sz="0" w:space="0" w:color="auto"/>
        <w:right w:val="none" w:sz="0" w:space="0" w:color="auto"/>
      </w:divBdr>
    </w:div>
    <w:div w:id="559218937">
      <w:bodyDiv w:val="1"/>
      <w:marLeft w:val="0"/>
      <w:marRight w:val="0"/>
      <w:marTop w:val="0"/>
      <w:marBottom w:val="0"/>
      <w:divBdr>
        <w:top w:val="none" w:sz="0" w:space="0" w:color="auto"/>
        <w:left w:val="none" w:sz="0" w:space="0" w:color="auto"/>
        <w:bottom w:val="none" w:sz="0" w:space="0" w:color="auto"/>
        <w:right w:val="none" w:sz="0" w:space="0" w:color="auto"/>
      </w:divBdr>
    </w:div>
    <w:div w:id="594367815">
      <w:bodyDiv w:val="1"/>
      <w:marLeft w:val="0"/>
      <w:marRight w:val="0"/>
      <w:marTop w:val="0"/>
      <w:marBottom w:val="0"/>
      <w:divBdr>
        <w:top w:val="none" w:sz="0" w:space="0" w:color="auto"/>
        <w:left w:val="none" w:sz="0" w:space="0" w:color="auto"/>
        <w:bottom w:val="none" w:sz="0" w:space="0" w:color="auto"/>
        <w:right w:val="none" w:sz="0" w:space="0" w:color="auto"/>
      </w:divBdr>
    </w:div>
    <w:div w:id="635991731">
      <w:bodyDiv w:val="1"/>
      <w:marLeft w:val="0"/>
      <w:marRight w:val="0"/>
      <w:marTop w:val="0"/>
      <w:marBottom w:val="0"/>
      <w:divBdr>
        <w:top w:val="none" w:sz="0" w:space="0" w:color="auto"/>
        <w:left w:val="none" w:sz="0" w:space="0" w:color="auto"/>
        <w:bottom w:val="none" w:sz="0" w:space="0" w:color="auto"/>
        <w:right w:val="none" w:sz="0" w:space="0" w:color="auto"/>
      </w:divBdr>
    </w:div>
    <w:div w:id="717895915">
      <w:bodyDiv w:val="1"/>
      <w:marLeft w:val="0"/>
      <w:marRight w:val="0"/>
      <w:marTop w:val="0"/>
      <w:marBottom w:val="0"/>
      <w:divBdr>
        <w:top w:val="none" w:sz="0" w:space="0" w:color="auto"/>
        <w:left w:val="none" w:sz="0" w:space="0" w:color="auto"/>
        <w:bottom w:val="none" w:sz="0" w:space="0" w:color="auto"/>
        <w:right w:val="none" w:sz="0" w:space="0" w:color="auto"/>
      </w:divBdr>
    </w:div>
    <w:div w:id="746879544">
      <w:bodyDiv w:val="1"/>
      <w:marLeft w:val="0"/>
      <w:marRight w:val="0"/>
      <w:marTop w:val="0"/>
      <w:marBottom w:val="0"/>
      <w:divBdr>
        <w:top w:val="none" w:sz="0" w:space="0" w:color="auto"/>
        <w:left w:val="none" w:sz="0" w:space="0" w:color="auto"/>
        <w:bottom w:val="none" w:sz="0" w:space="0" w:color="auto"/>
        <w:right w:val="none" w:sz="0" w:space="0" w:color="auto"/>
      </w:divBdr>
    </w:div>
    <w:div w:id="776564350">
      <w:bodyDiv w:val="1"/>
      <w:marLeft w:val="0"/>
      <w:marRight w:val="0"/>
      <w:marTop w:val="0"/>
      <w:marBottom w:val="0"/>
      <w:divBdr>
        <w:top w:val="none" w:sz="0" w:space="0" w:color="auto"/>
        <w:left w:val="none" w:sz="0" w:space="0" w:color="auto"/>
        <w:bottom w:val="none" w:sz="0" w:space="0" w:color="auto"/>
        <w:right w:val="none" w:sz="0" w:space="0" w:color="auto"/>
      </w:divBdr>
    </w:div>
    <w:div w:id="806092967">
      <w:bodyDiv w:val="1"/>
      <w:marLeft w:val="0"/>
      <w:marRight w:val="0"/>
      <w:marTop w:val="0"/>
      <w:marBottom w:val="0"/>
      <w:divBdr>
        <w:top w:val="none" w:sz="0" w:space="0" w:color="auto"/>
        <w:left w:val="none" w:sz="0" w:space="0" w:color="auto"/>
        <w:bottom w:val="none" w:sz="0" w:space="0" w:color="auto"/>
        <w:right w:val="none" w:sz="0" w:space="0" w:color="auto"/>
      </w:divBdr>
    </w:div>
    <w:div w:id="811101340">
      <w:bodyDiv w:val="1"/>
      <w:marLeft w:val="0"/>
      <w:marRight w:val="0"/>
      <w:marTop w:val="0"/>
      <w:marBottom w:val="0"/>
      <w:divBdr>
        <w:top w:val="none" w:sz="0" w:space="0" w:color="auto"/>
        <w:left w:val="none" w:sz="0" w:space="0" w:color="auto"/>
        <w:bottom w:val="none" w:sz="0" w:space="0" w:color="auto"/>
        <w:right w:val="none" w:sz="0" w:space="0" w:color="auto"/>
      </w:divBdr>
    </w:div>
    <w:div w:id="881747847">
      <w:bodyDiv w:val="1"/>
      <w:marLeft w:val="0"/>
      <w:marRight w:val="0"/>
      <w:marTop w:val="0"/>
      <w:marBottom w:val="0"/>
      <w:divBdr>
        <w:top w:val="none" w:sz="0" w:space="0" w:color="auto"/>
        <w:left w:val="none" w:sz="0" w:space="0" w:color="auto"/>
        <w:bottom w:val="none" w:sz="0" w:space="0" w:color="auto"/>
        <w:right w:val="none" w:sz="0" w:space="0" w:color="auto"/>
      </w:divBdr>
    </w:div>
    <w:div w:id="890388442">
      <w:bodyDiv w:val="1"/>
      <w:marLeft w:val="0"/>
      <w:marRight w:val="0"/>
      <w:marTop w:val="0"/>
      <w:marBottom w:val="0"/>
      <w:divBdr>
        <w:top w:val="none" w:sz="0" w:space="0" w:color="auto"/>
        <w:left w:val="none" w:sz="0" w:space="0" w:color="auto"/>
        <w:bottom w:val="none" w:sz="0" w:space="0" w:color="auto"/>
        <w:right w:val="none" w:sz="0" w:space="0" w:color="auto"/>
      </w:divBdr>
    </w:div>
    <w:div w:id="903490387">
      <w:bodyDiv w:val="1"/>
      <w:marLeft w:val="0"/>
      <w:marRight w:val="0"/>
      <w:marTop w:val="0"/>
      <w:marBottom w:val="0"/>
      <w:divBdr>
        <w:top w:val="none" w:sz="0" w:space="0" w:color="auto"/>
        <w:left w:val="none" w:sz="0" w:space="0" w:color="auto"/>
        <w:bottom w:val="none" w:sz="0" w:space="0" w:color="auto"/>
        <w:right w:val="none" w:sz="0" w:space="0" w:color="auto"/>
      </w:divBdr>
    </w:div>
    <w:div w:id="910234634">
      <w:bodyDiv w:val="1"/>
      <w:marLeft w:val="0"/>
      <w:marRight w:val="0"/>
      <w:marTop w:val="0"/>
      <w:marBottom w:val="0"/>
      <w:divBdr>
        <w:top w:val="none" w:sz="0" w:space="0" w:color="auto"/>
        <w:left w:val="none" w:sz="0" w:space="0" w:color="auto"/>
        <w:bottom w:val="none" w:sz="0" w:space="0" w:color="auto"/>
        <w:right w:val="none" w:sz="0" w:space="0" w:color="auto"/>
      </w:divBdr>
    </w:div>
    <w:div w:id="913508975">
      <w:bodyDiv w:val="1"/>
      <w:marLeft w:val="0"/>
      <w:marRight w:val="0"/>
      <w:marTop w:val="0"/>
      <w:marBottom w:val="0"/>
      <w:divBdr>
        <w:top w:val="none" w:sz="0" w:space="0" w:color="auto"/>
        <w:left w:val="none" w:sz="0" w:space="0" w:color="auto"/>
        <w:bottom w:val="none" w:sz="0" w:space="0" w:color="auto"/>
        <w:right w:val="none" w:sz="0" w:space="0" w:color="auto"/>
      </w:divBdr>
    </w:div>
    <w:div w:id="947200751">
      <w:bodyDiv w:val="1"/>
      <w:marLeft w:val="0"/>
      <w:marRight w:val="0"/>
      <w:marTop w:val="0"/>
      <w:marBottom w:val="0"/>
      <w:divBdr>
        <w:top w:val="none" w:sz="0" w:space="0" w:color="auto"/>
        <w:left w:val="none" w:sz="0" w:space="0" w:color="auto"/>
        <w:bottom w:val="none" w:sz="0" w:space="0" w:color="auto"/>
        <w:right w:val="none" w:sz="0" w:space="0" w:color="auto"/>
      </w:divBdr>
    </w:div>
    <w:div w:id="954942648">
      <w:bodyDiv w:val="1"/>
      <w:marLeft w:val="0"/>
      <w:marRight w:val="0"/>
      <w:marTop w:val="0"/>
      <w:marBottom w:val="0"/>
      <w:divBdr>
        <w:top w:val="none" w:sz="0" w:space="0" w:color="auto"/>
        <w:left w:val="none" w:sz="0" w:space="0" w:color="auto"/>
        <w:bottom w:val="none" w:sz="0" w:space="0" w:color="auto"/>
        <w:right w:val="none" w:sz="0" w:space="0" w:color="auto"/>
      </w:divBdr>
    </w:div>
    <w:div w:id="959455157">
      <w:bodyDiv w:val="1"/>
      <w:marLeft w:val="0"/>
      <w:marRight w:val="0"/>
      <w:marTop w:val="0"/>
      <w:marBottom w:val="0"/>
      <w:divBdr>
        <w:top w:val="none" w:sz="0" w:space="0" w:color="auto"/>
        <w:left w:val="none" w:sz="0" w:space="0" w:color="auto"/>
        <w:bottom w:val="none" w:sz="0" w:space="0" w:color="auto"/>
        <w:right w:val="none" w:sz="0" w:space="0" w:color="auto"/>
      </w:divBdr>
    </w:div>
    <w:div w:id="967978293">
      <w:bodyDiv w:val="1"/>
      <w:marLeft w:val="0"/>
      <w:marRight w:val="0"/>
      <w:marTop w:val="0"/>
      <w:marBottom w:val="0"/>
      <w:divBdr>
        <w:top w:val="none" w:sz="0" w:space="0" w:color="auto"/>
        <w:left w:val="none" w:sz="0" w:space="0" w:color="auto"/>
        <w:bottom w:val="none" w:sz="0" w:space="0" w:color="auto"/>
        <w:right w:val="none" w:sz="0" w:space="0" w:color="auto"/>
      </w:divBdr>
    </w:div>
    <w:div w:id="1002510917">
      <w:bodyDiv w:val="1"/>
      <w:marLeft w:val="0"/>
      <w:marRight w:val="0"/>
      <w:marTop w:val="0"/>
      <w:marBottom w:val="0"/>
      <w:divBdr>
        <w:top w:val="none" w:sz="0" w:space="0" w:color="auto"/>
        <w:left w:val="none" w:sz="0" w:space="0" w:color="auto"/>
        <w:bottom w:val="none" w:sz="0" w:space="0" w:color="auto"/>
        <w:right w:val="none" w:sz="0" w:space="0" w:color="auto"/>
      </w:divBdr>
    </w:div>
    <w:div w:id="103365378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03501113">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6121918">
      <w:bodyDiv w:val="1"/>
      <w:marLeft w:val="0"/>
      <w:marRight w:val="0"/>
      <w:marTop w:val="0"/>
      <w:marBottom w:val="0"/>
      <w:divBdr>
        <w:top w:val="none" w:sz="0" w:space="0" w:color="auto"/>
        <w:left w:val="none" w:sz="0" w:space="0" w:color="auto"/>
        <w:bottom w:val="none" w:sz="0" w:space="0" w:color="auto"/>
        <w:right w:val="none" w:sz="0" w:space="0" w:color="auto"/>
      </w:divBdr>
    </w:div>
    <w:div w:id="1207136336">
      <w:bodyDiv w:val="1"/>
      <w:marLeft w:val="0"/>
      <w:marRight w:val="0"/>
      <w:marTop w:val="0"/>
      <w:marBottom w:val="0"/>
      <w:divBdr>
        <w:top w:val="none" w:sz="0" w:space="0" w:color="auto"/>
        <w:left w:val="none" w:sz="0" w:space="0" w:color="auto"/>
        <w:bottom w:val="none" w:sz="0" w:space="0" w:color="auto"/>
        <w:right w:val="none" w:sz="0" w:space="0" w:color="auto"/>
      </w:divBdr>
    </w:div>
    <w:div w:id="1225410551">
      <w:bodyDiv w:val="1"/>
      <w:marLeft w:val="0"/>
      <w:marRight w:val="0"/>
      <w:marTop w:val="0"/>
      <w:marBottom w:val="0"/>
      <w:divBdr>
        <w:top w:val="none" w:sz="0" w:space="0" w:color="auto"/>
        <w:left w:val="none" w:sz="0" w:space="0" w:color="auto"/>
        <w:bottom w:val="none" w:sz="0" w:space="0" w:color="auto"/>
        <w:right w:val="none" w:sz="0" w:space="0" w:color="auto"/>
      </w:divBdr>
    </w:div>
    <w:div w:id="1233392682">
      <w:bodyDiv w:val="1"/>
      <w:marLeft w:val="0"/>
      <w:marRight w:val="0"/>
      <w:marTop w:val="0"/>
      <w:marBottom w:val="0"/>
      <w:divBdr>
        <w:top w:val="none" w:sz="0" w:space="0" w:color="auto"/>
        <w:left w:val="none" w:sz="0" w:space="0" w:color="auto"/>
        <w:bottom w:val="none" w:sz="0" w:space="0" w:color="auto"/>
        <w:right w:val="none" w:sz="0" w:space="0" w:color="auto"/>
      </w:divBdr>
    </w:div>
    <w:div w:id="1264679787">
      <w:bodyDiv w:val="1"/>
      <w:marLeft w:val="0"/>
      <w:marRight w:val="0"/>
      <w:marTop w:val="0"/>
      <w:marBottom w:val="0"/>
      <w:divBdr>
        <w:top w:val="none" w:sz="0" w:space="0" w:color="auto"/>
        <w:left w:val="none" w:sz="0" w:space="0" w:color="auto"/>
        <w:bottom w:val="none" w:sz="0" w:space="0" w:color="auto"/>
        <w:right w:val="none" w:sz="0" w:space="0" w:color="auto"/>
      </w:divBdr>
    </w:div>
    <w:div w:id="1294405061">
      <w:bodyDiv w:val="1"/>
      <w:marLeft w:val="0"/>
      <w:marRight w:val="0"/>
      <w:marTop w:val="0"/>
      <w:marBottom w:val="0"/>
      <w:divBdr>
        <w:top w:val="none" w:sz="0" w:space="0" w:color="auto"/>
        <w:left w:val="none" w:sz="0" w:space="0" w:color="auto"/>
        <w:bottom w:val="none" w:sz="0" w:space="0" w:color="auto"/>
        <w:right w:val="none" w:sz="0" w:space="0" w:color="auto"/>
      </w:divBdr>
    </w:div>
    <w:div w:id="1335376493">
      <w:bodyDiv w:val="1"/>
      <w:marLeft w:val="0"/>
      <w:marRight w:val="0"/>
      <w:marTop w:val="0"/>
      <w:marBottom w:val="0"/>
      <w:divBdr>
        <w:top w:val="none" w:sz="0" w:space="0" w:color="auto"/>
        <w:left w:val="none" w:sz="0" w:space="0" w:color="auto"/>
        <w:bottom w:val="none" w:sz="0" w:space="0" w:color="auto"/>
        <w:right w:val="none" w:sz="0" w:space="0" w:color="auto"/>
      </w:divBdr>
    </w:div>
    <w:div w:id="1404526580">
      <w:bodyDiv w:val="1"/>
      <w:marLeft w:val="0"/>
      <w:marRight w:val="0"/>
      <w:marTop w:val="0"/>
      <w:marBottom w:val="0"/>
      <w:divBdr>
        <w:top w:val="none" w:sz="0" w:space="0" w:color="auto"/>
        <w:left w:val="none" w:sz="0" w:space="0" w:color="auto"/>
        <w:bottom w:val="none" w:sz="0" w:space="0" w:color="auto"/>
        <w:right w:val="none" w:sz="0" w:space="0" w:color="auto"/>
      </w:divBdr>
    </w:div>
    <w:div w:id="1406877642">
      <w:bodyDiv w:val="1"/>
      <w:marLeft w:val="0"/>
      <w:marRight w:val="0"/>
      <w:marTop w:val="0"/>
      <w:marBottom w:val="0"/>
      <w:divBdr>
        <w:top w:val="none" w:sz="0" w:space="0" w:color="auto"/>
        <w:left w:val="none" w:sz="0" w:space="0" w:color="auto"/>
        <w:bottom w:val="none" w:sz="0" w:space="0" w:color="auto"/>
        <w:right w:val="none" w:sz="0" w:space="0" w:color="auto"/>
      </w:divBdr>
    </w:div>
    <w:div w:id="1431779840">
      <w:bodyDiv w:val="1"/>
      <w:marLeft w:val="0"/>
      <w:marRight w:val="0"/>
      <w:marTop w:val="0"/>
      <w:marBottom w:val="0"/>
      <w:divBdr>
        <w:top w:val="none" w:sz="0" w:space="0" w:color="auto"/>
        <w:left w:val="none" w:sz="0" w:space="0" w:color="auto"/>
        <w:bottom w:val="none" w:sz="0" w:space="0" w:color="auto"/>
        <w:right w:val="none" w:sz="0" w:space="0" w:color="auto"/>
      </w:divBdr>
    </w:div>
    <w:div w:id="1468429003">
      <w:bodyDiv w:val="1"/>
      <w:marLeft w:val="0"/>
      <w:marRight w:val="0"/>
      <w:marTop w:val="0"/>
      <w:marBottom w:val="0"/>
      <w:divBdr>
        <w:top w:val="none" w:sz="0" w:space="0" w:color="auto"/>
        <w:left w:val="none" w:sz="0" w:space="0" w:color="auto"/>
        <w:bottom w:val="none" w:sz="0" w:space="0" w:color="auto"/>
        <w:right w:val="none" w:sz="0" w:space="0" w:color="auto"/>
      </w:divBdr>
    </w:div>
    <w:div w:id="1525556516">
      <w:bodyDiv w:val="1"/>
      <w:marLeft w:val="0"/>
      <w:marRight w:val="0"/>
      <w:marTop w:val="0"/>
      <w:marBottom w:val="0"/>
      <w:divBdr>
        <w:top w:val="none" w:sz="0" w:space="0" w:color="auto"/>
        <w:left w:val="none" w:sz="0" w:space="0" w:color="auto"/>
        <w:bottom w:val="none" w:sz="0" w:space="0" w:color="auto"/>
        <w:right w:val="none" w:sz="0" w:space="0" w:color="auto"/>
      </w:divBdr>
    </w:div>
    <w:div w:id="1545406892">
      <w:bodyDiv w:val="1"/>
      <w:marLeft w:val="0"/>
      <w:marRight w:val="0"/>
      <w:marTop w:val="0"/>
      <w:marBottom w:val="0"/>
      <w:divBdr>
        <w:top w:val="none" w:sz="0" w:space="0" w:color="auto"/>
        <w:left w:val="none" w:sz="0" w:space="0" w:color="auto"/>
        <w:bottom w:val="none" w:sz="0" w:space="0" w:color="auto"/>
        <w:right w:val="none" w:sz="0" w:space="0" w:color="auto"/>
      </w:divBdr>
    </w:div>
    <w:div w:id="1549495247">
      <w:bodyDiv w:val="1"/>
      <w:marLeft w:val="0"/>
      <w:marRight w:val="0"/>
      <w:marTop w:val="0"/>
      <w:marBottom w:val="0"/>
      <w:divBdr>
        <w:top w:val="none" w:sz="0" w:space="0" w:color="auto"/>
        <w:left w:val="none" w:sz="0" w:space="0" w:color="auto"/>
        <w:bottom w:val="none" w:sz="0" w:space="0" w:color="auto"/>
        <w:right w:val="none" w:sz="0" w:space="0" w:color="auto"/>
      </w:divBdr>
    </w:div>
    <w:div w:id="1573542912">
      <w:bodyDiv w:val="1"/>
      <w:marLeft w:val="0"/>
      <w:marRight w:val="0"/>
      <w:marTop w:val="0"/>
      <w:marBottom w:val="0"/>
      <w:divBdr>
        <w:top w:val="none" w:sz="0" w:space="0" w:color="auto"/>
        <w:left w:val="none" w:sz="0" w:space="0" w:color="auto"/>
        <w:bottom w:val="none" w:sz="0" w:space="0" w:color="auto"/>
        <w:right w:val="none" w:sz="0" w:space="0" w:color="auto"/>
      </w:divBdr>
    </w:div>
    <w:div w:id="1596598968">
      <w:bodyDiv w:val="1"/>
      <w:marLeft w:val="0"/>
      <w:marRight w:val="0"/>
      <w:marTop w:val="0"/>
      <w:marBottom w:val="0"/>
      <w:divBdr>
        <w:top w:val="none" w:sz="0" w:space="0" w:color="auto"/>
        <w:left w:val="none" w:sz="0" w:space="0" w:color="auto"/>
        <w:bottom w:val="none" w:sz="0" w:space="0" w:color="auto"/>
        <w:right w:val="none" w:sz="0" w:space="0" w:color="auto"/>
      </w:divBdr>
    </w:div>
    <w:div w:id="1629169043">
      <w:bodyDiv w:val="1"/>
      <w:marLeft w:val="0"/>
      <w:marRight w:val="0"/>
      <w:marTop w:val="0"/>
      <w:marBottom w:val="0"/>
      <w:divBdr>
        <w:top w:val="none" w:sz="0" w:space="0" w:color="auto"/>
        <w:left w:val="none" w:sz="0" w:space="0" w:color="auto"/>
        <w:bottom w:val="none" w:sz="0" w:space="0" w:color="auto"/>
        <w:right w:val="none" w:sz="0" w:space="0" w:color="auto"/>
      </w:divBdr>
    </w:div>
    <w:div w:id="1860123543">
      <w:bodyDiv w:val="1"/>
      <w:marLeft w:val="0"/>
      <w:marRight w:val="0"/>
      <w:marTop w:val="0"/>
      <w:marBottom w:val="0"/>
      <w:divBdr>
        <w:top w:val="none" w:sz="0" w:space="0" w:color="auto"/>
        <w:left w:val="none" w:sz="0" w:space="0" w:color="auto"/>
        <w:bottom w:val="none" w:sz="0" w:space="0" w:color="auto"/>
        <w:right w:val="none" w:sz="0" w:space="0" w:color="auto"/>
      </w:divBdr>
    </w:div>
    <w:div w:id="1893534571">
      <w:bodyDiv w:val="1"/>
      <w:marLeft w:val="0"/>
      <w:marRight w:val="0"/>
      <w:marTop w:val="0"/>
      <w:marBottom w:val="0"/>
      <w:divBdr>
        <w:top w:val="none" w:sz="0" w:space="0" w:color="auto"/>
        <w:left w:val="none" w:sz="0" w:space="0" w:color="auto"/>
        <w:bottom w:val="none" w:sz="0" w:space="0" w:color="auto"/>
        <w:right w:val="none" w:sz="0" w:space="0" w:color="auto"/>
      </w:divBdr>
    </w:div>
    <w:div w:id="1898005841">
      <w:bodyDiv w:val="1"/>
      <w:marLeft w:val="0"/>
      <w:marRight w:val="0"/>
      <w:marTop w:val="0"/>
      <w:marBottom w:val="0"/>
      <w:divBdr>
        <w:top w:val="none" w:sz="0" w:space="0" w:color="auto"/>
        <w:left w:val="none" w:sz="0" w:space="0" w:color="auto"/>
        <w:bottom w:val="none" w:sz="0" w:space="0" w:color="auto"/>
        <w:right w:val="none" w:sz="0" w:space="0" w:color="auto"/>
      </w:divBdr>
    </w:div>
    <w:div w:id="1923023786">
      <w:bodyDiv w:val="1"/>
      <w:marLeft w:val="0"/>
      <w:marRight w:val="0"/>
      <w:marTop w:val="0"/>
      <w:marBottom w:val="0"/>
      <w:divBdr>
        <w:top w:val="none" w:sz="0" w:space="0" w:color="auto"/>
        <w:left w:val="none" w:sz="0" w:space="0" w:color="auto"/>
        <w:bottom w:val="none" w:sz="0" w:space="0" w:color="auto"/>
        <w:right w:val="none" w:sz="0" w:space="0" w:color="auto"/>
      </w:divBdr>
    </w:div>
    <w:div w:id="1988168363">
      <w:bodyDiv w:val="1"/>
      <w:marLeft w:val="0"/>
      <w:marRight w:val="0"/>
      <w:marTop w:val="0"/>
      <w:marBottom w:val="0"/>
      <w:divBdr>
        <w:top w:val="none" w:sz="0" w:space="0" w:color="auto"/>
        <w:left w:val="none" w:sz="0" w:space="0" w:color="auto"/>
        <w:bottom w:val="none" w:sz="0" w:space="0" w:color="auto"/>
        <w:right w:val="none" w:sz="0" w:space="0" w:color="auto"/>
      </w:divBdr>
    </w:div>
    <w:div w:id="2035184998">
      <w:bodyDiv w:val="1"/>
      <w:marLeft w:val="0"/>
      <w:marRight w:val="0"/>
      <w:marTop w:val="0"/>
      <w:marBottom w:val="0"/>
      <w:divBdr>
        <w:top w:val="none" w:sz="0" w:space="0" w:color="auto"/>
        <w:left w:val="none" w:sz="0" w:space="0" w:color="auto"/>
        <w:bottom w:val="none" w:sz="0" w:space="0" w:color="auto"/>
        <w:right w:val="none" w:sz="0" w:space="0" w:color="auto"/>
      </w:divBdr>
    </w:div>
    <w:div w:id="2064324016">
      <w:bodyDiv w:val="1"/>
      <w:marLeft w:val="0"/>
      <w:marRight w:val="0"/>
      <w:marTop w:val="0"/>
      <w:marBottom w:val="0"/>
      <w:divBdr>
        <w:top w:val="none" w:sz="0" w:space="0" w:color="auto"/>
        <w:left w:val="none" w:sz="0" w:space="0" w:color="auto"/>
        <w:bottom w:val="none" w:sz="0" w:space="0" w:color="auto"/>
        <w:right w:val="none" w:sz="0" w:space="0" w:color="auto"/>
      </w:divBdr>
    </w:div>
    <w:div w:id="2083597467">
      <w:bodyDiv w:val="1"/>
      <w:marLeft w:val="0"/>
      <w:marRight w:val="0"/>
      <w:marTop w:val="0"/>
      <w:marBottom w:val="0"/>
      <w:divBdr>
        <w:top w:val="none" w:sz="0" w:space="0" w:color="auto"/>
        <w:left w:val="none" w:sz="0" w:space="0" w:color="auto"/>
        <w:bottom w:val="none" w:sz="0" w:space="0" w:color="auto"/>
        <w:right w:val="none" w:sz="0" w:space="0" w:color="auto"/>
      </w:divBdr>
    </w:div>
    <w:div w:id="21105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allarms.un-arm.com/sustainable-development-go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unodc.org/unodc/en/data-and-analysis/statistics/crime/iafq.html" TargetMode="External"/><Relationship Id="rId17" Type="http://schemas.openxmlformats.org/officeDocument/2006/relationships/hyperlink" Target="https://unstats.un.org/sdgs/tierIII-indicators/files/Tier3-16-04-02.pdf" TargetMode="External"/><Relationship Id="rId2" Type="http://schemas.openxmlformats.org/officeDocument/2006/relationships/customXml" Target="../customXml/item2.xml"/><Relationship Id="rId16" Type="http://schemas.openxmlformats.org/officeDocument/2006/relationships/hyperlink" Target="http://www.unodc.org/unodc/en/data-and-analysis/statistics/crime/iafq.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allarms.un-arm.com/sustainable-development-goals" TargetMode="External"/><Relationship Id="rId5" Type="http://schemas.openxmlformats.org/officeDocument/2006/relationships/numbering" Target="numbering.xml"/><Relationship Id="rId15" Type="http://schemas.openxmlformats.org/officeDocument/2006/relationships/hyperlink" Target="http://www.unodc.org/unodc/en/data-and-analysis/statistics/crime/iafq.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odc.un.org/sdg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872B05C-BE0B-458A-9448-5819857137A2}"/>
      </w:docPartPr>
      <w:docPartBody>
        <w:p w:rsidR="0061585C" w:rsidRDefault="00B73DFA">
          <w:r w:rsidRPr="00FC4A62">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FA"/>
    <w:rsid w:val="0001692F"/>
    <w:rsid w:val="004A0263"/>
    <w:rsid w:val="00573645"/>
    <w:rsid w:val="0061585C"/>
    <w:rsid w:val="006D555A"/>
    <w:rsid w:val="00915D9C"/>
    <w:rsid w:val="00B73DFA"/>
    <w:rsid w:val="00BC0372"/>
    <w:rsid w:val="00F4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3D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SharedWithUsers xmlns="8bde3967-4b29-49c8-add0-1b77de203898">
      <UserInfo>
        <DisplayName>Hernan Epstein</DisplayName>
        <AccountId>598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4" ma:contentTypeDescription="Create a new document." ma:contentTypeScope="" ma:versionID="4acc3459a9e5a8b946124cbee06b9a5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d55f6a0251caa7867116031c0bdd979f"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A3A299F2-2FCB-4892-893C-551CE494FFAF}">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purl.org/dc/elements/1.1/"/>
    <ds:schemaRef ds:uri="985ec44e-1bab-4c0b-9df0-6ba128686fc9"/>
    <ds:schemaRef ds:uri="http://www.w3.org/XML/1998/namespace"/>
    <ds:schemaRef ds:uri="http://schemas.microsoft.com/office/infopath/2007/PartnerControls"/>
    <ds:schemaRef ds:uri="http://schemas.microsoft.com/office/2006/metadata/properties"/>
    <ds:schemaRef ds:uri="8bde3967-4b29-49c8-add0-1b77de203898"/>
    <ds:schemaRef ds:uri="http://purl.org/dc/terms/"/>
    <ds:schemaRef ds:uri="http://schemas.microsoft.com/office/2006/documentManagement/types"/>
    <ds:schemaRef ds:uri="http://schemas.openxmlformats.org/package/2006/metadata/core-properties"/>
    <ds:schemaRef ds:uri="0f1cb922-524b-4a63-a729-f715e5c73bc5"/>
    <ds:schemaRef ds:uri="http://purl.org/dc/dcmitype/"/>
  </ds:schemaRefs>
</ds:datastoreItem>
</file>

<file path=customXml/itemProps4.xml><?xml version="1.0" encoding="utf-8"?>
<ds:datastoreItem xmlns:ds="http://schemas.openxmlformats.org/officeDocument/2006/customXml" ds:itemID="{17CF95CF-F4A1-42A8-ABAB-C760D530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3655</Words>
  <Characters>20108</Characters>
  <Application>Microsoft Office Word</Application>
  <DocSecurity>0</DocSecurity>
  <Lines>167</Lines>
  <Paragraphs>47</Paragraphs>
  <ScaleCrop>false</ScaleCrop>
  <Company>United Nations</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Justo Rojas Lopez</cp:lastModifiedBy>
  <cp:revision>2</cp:revision>
  <cp:lastPrinted>2016-07-16T14:25:00Z</cp:lastPrinted>
  <dcterms:created xsi:type="dcterms:W3CDTF">2025-05-27T18:33:00Z</dcterms:created>
  <dcterms:modified xsi:type="dcterms:W3CDTF">2025-05-27T18:33:00Z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