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BAA0" w14:textId="57517F5D" w:rsidR="0005008F" w:rsidRPr="005A5AFB" w:rsidRDefault="005A5AFB" w:rsidP="005A5AFB">
      <w:pPr>
        <w:spacing w:after="0"/>
        <w:jc w:val="center"/>
        <w:rPr>
          <w:rFonts w:cs="Calibri"/>
          <w:lang w:val="es-MX"/>
        </w:rPr>
      </w:pPr>
      <w:r w:rsidRPr="004A2E21">
        <w:rPr>
          <w:rFonts w:eastAsia="Times New Roman" w:cs="Calibri"/>
          <w:color w:val="1C75BC"/>
          <w:sz w:val="36"/>
          <w:szCs w:val="36"/>
          <w:lang w:val="es-MX" w:eastAsia="en-GB"/>
        </w:rPr>
        <w:t>Metadatos de Indicador ODS</w:t>
      </w:r>
    </w:p>
    <w:p w14:paraId="178E44A0" w14:textId="3DD4902B" w:rsidR="0005008F" w:rsidRPr="005A5AFB" w:rsidRDefault="00763E97" w:rsidP="0039287E">
      <w:pPr>
        <w:spacing w:after="0"/>
        <w:jc w:val="center"/>
        <w:rPr>
          <w:b/>
          <w:color w:val="4A4A4A"/>
          <w:sz w:val="21"/>
          <w:lang w:val="es-MX"/>
        </w:rPr>
      </w:pPr>
      <w:r w:rsidRPr="005A5AFB">
        <w:rPr>
          <w:b/>
          <w:color w:val="4A4A4A"/>
          <w:sz w:val="21"/>
          <w:lang w:val="es-MX"/>
        </w:rPr>
        <w:t>(</w:t>
      </w:r>
      <w:r w:rsidR="005A5AFB" w:rsidRPr="004A2E21">
        <w:rPr>
          <w:rFonts w:eastAsia="Times New Roman" w:cs="Calibri"/>
          <w:b/>
          <w:bCs/>
          <w:color w:val="4A4A4A"/>
          <w:sz w:val="21"/>
          <w:szCs w:val="21"/>
          <w:lang w:val="es-MX" w:eastAsia="en-GB"/>
        </w:rPr>
        <w:t>Plantilla armonizada de metadatos – formato versión 1.1</w:t>
      </w:r>
      <w:r w:rsidRPr="005A5AFB">
        <w:rPr>
          <w:b/>
          <w:color w:val="4A4A4A"/>
          <w:sz w:val="21"/>
          <w:lang w:val="es-MX"/>
        </w:rPr>
        <w:t>)</w:t>
      </w:r>
    </w:p>
    <w:p w14:paraId="47EB5FF4" w14:textId="77777777" w:rsidR="0005008F" w:rsidRPr="005A5AFB" w:rsidRDefault="0005008F" w:rsidP="0039287E">
      <w:pPr>
        <w:spacing w:after="0"/>
        <w:rPr>
          <w:b/>
          <w:color w:val="4A4A4A"/>
          <w:sz w:val="21"/>
          <w:lang w:val="es-MX"/>
        </w:rPr>
      </w:pPr>
    </w:p>
    <w:p w14:paraId="2BCCE577" w14:textId="2A1112F8" w:rsidR="0005008F" w:rsidRPr="005A5AFB" w:rsidRDefault="00B31E2C" w:rsidP="0039287E">
      <w:pPr>
        <w:pStyle w:val="MIndHeader2"/>
        <w:rPr>
          <w:lang w:val="es-MX"/>
        </w:rPr>
      </w:pPr>
      <w:r w:rsidRPr="005A5AFB">
        <w:rPr>
          <w:lang w:val="es-MX"/>
        </w:rPr>
        <w:t xml:space="preserve">0. </w:t>
      </w:r>
      <w:r w:rsidR="005A5AFB" w:rsidRPr="004A2E21">
        <w:rPr>
          <w:lang w:val="es-MX"/>
        </w:rPr>
        <w:t xml:space="preserve">Información de Indicador </w:t>
      </w:r>
      <w:r w:rsidRPr="005A5AFB">
        <w:rPr>
          <w:color w:val="B4B4B4"/>
          <w:sz w:val="20"/>
          <w:lang w:val="es-MX"/>
        </w:rPr>
        <w:t>(SDG_INDICATOR_INFO)</w:t>
      </w:r>
    </w:p>
    <w:p w14:paraId="6E8BC731" w14:textId="7FDAF6A3" w:rsidR="0005008F" w:rsidRDefault="00D24330" w:rsidP="0039287E">
      <w:pPr>
        <w:pStyle w:val="MIndHeader"/>
      </w:pPr>
      <w:r w:rsidRPr="00A96255">
        <w:t xml:space="preserve">0.a. </w:t>
      </w:r>
      <w:proofErr w:type="spellStart"/>
      <w:r w:rsidR="005A5AFB">
        <w:t>Objetivo</w:t>
      </w:r>
      <w:proofErr w:type="spellEnd"/>
      <w:r w:rsidRPr="00A96255">
        <w:t xml:space="preserve"> </w:t>
      </w:r>
      <w:r>
        <w:rPr>
          <w:color w:val="B4B4B4"/>
          <w:sz w:val="20"/>
        </w:rPr>
        <w:t>(SDG_GOAL)</w:t>
      </w:r>
    </w:p>
    <w:p w14:paraId="03658F27" w14:textId="65FC6893" w:rsidR="0005008F" w:rsidRPr="005A5AFB" w:rsidRDefault="005A5AFB" w:rsidP="0039287E">
      <w:pPr>
        <w:pStyle w:val="MGTHeader"/>
        <w:rPr>
          <w:lang w:val="es-MX"/>
        </w:rPr>
      </w:pPr>
      <w:r w:rsidRPr="005A5AFB">
        <w:rPr>
          <w:lang w:val="es-MX"/>
        </w:rPr>
        <w:t>Objetivo</w:t>
      </w:r>
      <w:r w:rsidR="00BA48F5" w:rsidRPr="005A5AFB">
        <w:rPr>
          <w:lang w:val="es-MX"/>
        </w:rPr>
        <w:t xml:space="preserve"> 16</w:t>
      </w:r>
      <w:r w:rsidR="00763E97" w:rsidRPr="005A5AFB">
        <w:rPr>
          <w:lang w:val="es-MX"/>
        </w:rPr>
        <w:t xml:space="preserve">: </w:t>
      </w:r>
      <w:r w:rsidRPr="004A2E21">
        <w:rPr>
          <w:lang w:val="es-MX"/>
        </w:rPr>
        <w:t>Promover sociedades pacíficas e inclusivas para el desarrollo sostenible, facilitar el acceso a la justicia para todos y construir a todos los niveles instituciones eficaces e inclusivas que rindan cuentas</w:t>
      </w:r>
      <w:r>
        <w:rPr>
          <w:lang w:val="es-MX"/>
        </w:rPr>
        <w:t xml:space="preserve"> en todos los niveles.</w:t>
      </w:r>
    </w:p>
    <w:p w14:paraId="6A317174" w14:textId="746537B3" w:rsidR="0005008F" w:rsidRPr="00904D39" w:rsidRDefault="00D24330" w:rsidP="0039287E">
      <w:pPr>
        <w:pStyle w:val="MIndHeader"/>
        <w:rPr>
          <w:lang w:val="es-MX"/>
        </w:rPr>
      </w:pPr>
      <w:r w:rsidRPr="00904D39">
        <w:rPr>
          <w:lang w:val="es-MX"/>
        </w:rPr>
        <w:t xml:space="preserve">0.b. </w:t>
      </w:r>
      <w:r w:rsidR="005A5AFB" w:rsidRPr="00904D39">
        <w:rPr>
          <w:lang w:val="es-MX"/>
        </w:rPr>
        <w:t>Meta</w:t>
      </w:r>
      <w:r w:rsidRPr="00904D39">
        <w:rPr>
          <w:lang w:val="es-MX"/>
        </w:rPr>
        <w:t xml:space="preserve"> </w:t>
      </w:r>
      <w:r w:rsidRPr="00904D39">
        <w:rPr>
          <w:color w:val="B4B4B4"/>
          <w:sz w:val="20"/>
          <w:lang w:val="es-MX"/>
        </w:rPr>
        <w:t>(SDG_TARGET)</w:t>
      </w:r>
    </w:p>
    <w:p w14:paraId="05DA6861" w14:textId="19785C06" w:rsidR="0005008F" w:rsidRPr="005A5AFB" w:rsidRDefault="005A5AFB" w:rsidP="0039287E">
      <w:pPr>
        <w:pStyle w:val="MGTHeader"/>
        <w:rPr>
          <w:lang w:val="es-MX"/>
        </w:rPr>
      </w:pPr>
      <w:r w:rsidRPr="005A5AFB">
        <w:rPr>
          <w:lang w:val="es-MX"/>
        </w:rPr>
        <w:t>Meta</w:t>
      </w:r>
      <w:r w:rsidR="00BA48F5" w:rsidRPr="005A5AFB">
        <w:rPr>
          <w:lang w:val="es-MX"/>
        </w:rPr>
        <w:t xml:space="preserve"> 16.3</w:t>
      </w:r>
      <w:r w:rsidR="00763E97" w:rsidRPr="005A5AFB">
        <w:rPr>
          <w:lang w:val="es-MX"/>
        </w:rPr>
        <w:t xml:space="preserve">: </w:t>
      </w:r>
      <w:r w:rsidRPr="004A2E21">
        <w:rPr>
          <w:lang w:val="es-MX"/>
        </w:rPr>
        <w:t>Promover el Estado de Derecho a escala nacional e internacional y garantizar la igualdad de acceso a la justicia para todos.</w:t>
      </w:r>
    </w:p>
    <w:p w14:paraId="26E300AB" w14:textId="6B1BC768" w:rsidR="0005008F" w:rsidRPr="00904D39" w:rsidRDefault="00D24330" w:rsidP="0039287E">
      <w:pPr>
        <w:pStyle w:val="MIndHeader"/>
        <w:rPr>
          <w:lang w:val="es-MX"/>
        </w:rPr>
      </w:pPr>
      <w:r w:rsidRPr="00904D39">
        <w:rPr>
          <w:lang w:val="es-MX"/>
        </w:rPr>
        <w:t xml:space="preserve">0.c. </w:t>
      </w:r>
      <w:r w:rsidR="00763E97" w:rsidRPr="00904D39">
        <w:rPr>
          <w:lang w:val="es-MX"/>
        </w:rPr>
        <w:t>Indica</w:t>
      </w:r>
      <w:r w:rsidR="005A5AFB" w:rsidRPr="00904D39">
        <w:rPr>
          <w:lang w:val="es-MX"/>
        </w:rPr>
        <w:t>d</w:t>
      </w:r>
      <w:r w:rsidR="00763E97" w:rsidRPr="00904D39">
        <w:rPr>
          <w:lang w:val="es-MX"/>
        </w:rPr>
        <w:t>or</w:t>
      </w:r>
      <w:r w:rsidRPr="00904D39">
        <w:rPr>
          <w:lang w:val="es-MX"/>
        </w:rPr>
        <w:t xml:space="preserve"> </w:t>
      </w:r>
      <w:r w:rsidRPr="00904D39">
        <w:rPr>
          <w:color w:val="B4B4B4"/>
          <w:sz w:val="20"/>
          <w:lang w:val="es-MX"/>
        </w:rPr>
        <w:t>(SDG_INDICATOR)</w:t>
      </w:r>
    </w:p>
    <w:p w14:paraId="6D9D7922" w14:textId="4FEE4F9B" w:rsidR="0005008F" w:rsidRPr="00934093" w:rsidRDefault="00763E97" w:rsidP="0039287E">
      <w:pPr>
        <w:pStyle w:val="MGTHeader"/>
        <w:rPr>
          <w:lang w:val="es-MX"/>
        </w:rPr>
      </w:pPr>
      <w:r w:rsidRPr="00934093">
        <w:rPr>
          <w:rFonts w:ascii="Calibri" w:hAnsi="Calibri"/>
          <w:color w:val="444444"/>
          <w:lang w:val="es-MX"/>
        </w:rPr>
        <w:t>Indica</w:t>
      </w:r>
      <w:r w:rsidR="005A5AFB" w:rsidRPr="00934093">
        <w:rPr>
          <w:rFonts w:ascii="Calibri" w:hAnsi="Calibri"/>
          <w:color w:val="444444"/>
          <w:lang w:val="es-MX"/>
        </w:rPr>
        <w:t>d</w:t>
      </w:r>
      <w:r w:rsidRPr="00934093">
        <w:rPr>
          <w:rFonts w:ascii="Calibri" w:hAnsi="Calibri"/>
          <w:color w:val="444444"/>
          <w:lang w:val="es-MX"/>
        </w:rPr>
        <w:t xml:space="preserve">or 16.3.3: </w:t>
      </w:r>
      <w:r w:rsidR="00934093" w:rsidRPr="00934093">
        <w:rPr>
          <w:rFonts w:ascii="Calibri" w:hAnsi="Calibri"/>
          <w:color w:val="444444"/>
          <w:lang w:val="es-MX"/>
        </w:rPr>
        <w:t>Proporción de la población que se ha visto implicada en alguna controversia en los dos últimos años y ha accedido a algún mecanismo oficial u oficioso de solución de controversias, desglosada por tipo de mecanismo.</w:t>
      </w:r>
    </w:p>
    <w:p w14:paraId="4D3D0576" w14:textId="23BDD705" w:rsidR="0005008F" w:rsidRPr="005A5AFB" w:rsidRDefault="00D24330" w:rsidP="0039287E">
      <w:pPr>
        <w:pStyle w:val="MIndHeader"/>
        <w:rPr>
          <w:lang w:val="es-MX"/>
        </w:rPr>
      </w:pPr>
      <w:r w:rsidRPr="005A5AFB">
        <w:rPr>
          <w:lang w:val="es-MX"/>
        </w:rPr>
        <w:t xml:space="preserve">0.d. </w:t>
      </w:r>
      <w:r w:rsidR="00763E97" w:rsidRPr="005A5AFB">
        <w:rPr>
          <w:lang w:val="es-MX"/>
        </w:rPr>
        <w:t>Serie</w:t>
      </w:r>
      <w:r w:rsidRPr="005A5AFB">
        <w:rPr>
          <w:lang w:val="es-MX"/>
        </w:rPr>
        <w:t xml:space="preserve"> </w:t>
      </w:r>
      <w:r w:rsidRPr="005A5AFB">
        <w:rPr>
          <w:color w:val="B4B4B4"/>
          <w:sz w:val="20"/>
          <w:lang w:val="es-MX"/>
        </w:rPr>
        <w:t>(SDG_SERIES_DESCR)</w:t>
      </w:r>
    </w:p>
    <w:p w14:paraId="3907604D" w14:textId="0CD8C5A1" w:rsidR="0005008F" w:rsidRPr="00934093" w:rsidRDefault="00934093" w:rsidP="0039287E">
      <w:pPr>
        <w:pStyle w:val="MGTHeader"/>
        <w:rPr>
          <w:lang w:val="es-MX"/>
        </w:rPr>
      </w:pPr>
      <w:r w:rsidRPr="00934093">
        <w:rPr>
          <w:lang w:val="es-MX"/>
        </w:rPr>
        <w:t xml:space="preserve">Aplica </w:t>
      </w:r>
      <w:r>
        <w:rPr>
          <w:lang w:val="es-MX"/>
        </w:rPr>
        <w:t>para todas las series.</w:t>
      </w:r>
    </w:p>
    <w:p w14:paraId="6B063B0B" w14:textId="06671CC4" w:rsidR="0005008F" w:rsidRPr="005A5AFB" w:rsidRDefault="00D24330" w:rsidP="0039287E">
      <w:pPr>
        <w:pStyle w:val="MIndHeader"/>
        <w:rPr>
          <w:lang w:val="es-MX"/>
        </w:rPr>
      </w:pPr>
      <w:r w:rsidRPr="005A5AFB">
        <w:rPr>
          <w:lang w:val="es-MX"/>
        </w:rPr>
        <w:t xml:space="preserve">0.e. </w:t>
      </w:r>
      <w:r w:rsidR="005A5AFB" w:rsidRPr="004A2E21">
        <w:rPr>
          <w:lang w:val="es-MX"/>
        </w:rPr>
        <w:t>Actualización de metadatos</w:t>
      </w:r>
      <w:r w:rsidRPr="005A5AFB">
        <w:rPr>
          <w:lang w:val="es-MX"/>
        </w:rPr>
        <w:t xml:space="preserve"> </w:t>
      </w:r>
      <w:r w:rsidRPr="005A5AFB">
        <w:rPr>
          <w:color w:val="B4B4B4"/>
          <w:sz w:val="20"/>
          <w:lang w:val="es-MX"/>
        </w:rPr>
        <w:t>(META_LAST_UPDATE)</w:t>
      </w:r>
    </w:p>
    <w:sdt>
      <w:sdtPr>
        <w:rPr>
          <w:lang w:val="es-MX"/>
        </w:rPr>
        <w:id w:val="1314758440"/>
        <w:placeholder>
          <w:docPart w:val="F4CAD6891E844202948F9CEBEEA42D81"/>
        </w:placeholder>
        <w:date w:fullDate="2023-03-31T00:00:00Z">
          <w:dateFormat w:val="yyyy-MM-dd"/>
          <w:lid w:val="en-US"/>
          <w:storeMappedDataAs w:val="dateTime"/>
          <w:calendar w:val="gregorian"/>
        </w:date>
      </w:sdtPr>
      <w:sdtContent>
        <w:p w14:paraId="6914035D" w14:textId="3C63E60B" w:rsidR="0005008F" w:rsidRPr="00904D39" w:rsidRDefault="00A45A05" w:rsidP="0039287E">
          <w:pPr>
            <w:pStyle w:val="MGTHeader"/>
            <w:rPr>
              <w:lang w:val="es-MX"/>
            </w:rPr>
          </w:pPr>
          <w:r w:rsidRPr="00904D39">
            <w:rPr>
              <w:lang w:val="es-MX"/>
            </w:rPr>
            <w:t>2023-03-31</w:t>
          </w:r>
        </w:p>
      </w:sdtContent>
    </w:sdt>
    <w:p w14:paraId="3FD1F60E" w14:textId="5BB8D428" w:rsidR="0005008F" w:rsidRPr="005A5AFB" w:rsidRDefault="00D24330" w:rsidP="0039287E">
      <w:pPr>
        <w:pStyle w:val="MIndHeader"/>
        <w:rPr>
          <w:lang w:val="es-MX"/>
        </w:rPr>
      </w:pPr>
      <w:r w:rsidRPr="005A5AFB">
        <w:rPr>
          <w:lang w:val="es-MX"/>
        </w:rPr>
        <w:t xml:space="preserve">0.f. </w:t>
      </w:r>
      <w:r w:rsidR="005A5AFB" w:rsidRPr="004A2E21">
        <w:rPr>
          <w:lang w:val="es-MX"/>
        </w:rPr>
        <w:t>Indicadores relacionados</w:t>
      </w:r>
      <w:r w:rsidRPr="005A5AFB">
        <w:rPr>
          <w:lang w:val="es-MX"/>
        </w:rPr>
        <w:t xml:space="preserve"> </w:t>
      </w:r>
      <w:r w:rsidRPr="005A5AFB">
        <w:rPr>
          <w:color w:val="B4B4B4"/>
          <w:sz w:val="20"/>
          <w:lang w:val="es-MX"/>
        </w:rPr>
        <w:t>(SDG_RELATED_INDICATORS)</w:t>
      </w:r>
    </w:p>
    <w:p w14:paraId="7CA0A03E" w14:textId="7CA410F9" w:rsidR="00934093" w:rsidRPr="00934093" w:rsidRDefault="00934093" w:rsidP="00934093">
      <w:pPr>
        <w:pStyle w:val="MGTHeader"/>
        <w:rPr>
          <w:lang w:val="es-MX"/>
        </w:rPr>
      </w:pPr>
      <w:r w:rsidRPr="00934093">
        <w:rPr>
          <w:lang w:val="es-MX"/>
        </w:rPr>
        <w:t xml:space="preserve">Este indicador complementa a los demás indicadores del 16.3, que se centran en las tasas de detención preventiva y de denuncia de victimización, y proporciona así una imagen más holística de la capacidad de las personas para acceder a los mecanismos de justicia en una amplia gama de </w:t>
      </w:r>
      <w:r w:rsidR="00816472">
        <w:rPr>
          <w:lang w:val="es-MX"/>
        </w:rPr>
        <w:t>conflictos</w:t>
      </w:r>
      <w:r w:rsidRPr="00934093">
        <w:rPr>
          <w:lang w:val="es-MX"/>
        </w:rPr>
        <w:t xml:space="preserve">. </w:t>
      </w:r>
    </w:p>
    <w:p w14:paraId="135E1D98" w14:textId="4CE5ECBE" w:rsidR="00934093" w:rsidRPr="00934093" w:rsidRDefault="00934093" w:rsidP="00934093">
      <w:pPr>
        <w:pStyle w:val="MGTHeader"/>
        <w:rPr>
          <w:lang w:val="es-MX"/>
        </w:rPr>
      </w:pPr>
      <w:r w:rsidRPr="00934093">
        <w:rPr>
          <w:lang w:val="es-MX"/>
        </w:rPr>
        <w:t xml:space="preserve">Este indicador también está relacionado con otras metas del ODS 16 sobre cuestiones que pueden requerir el acceso a la justicia. Por ejemplo, las personas necesitan acceder a las instituciones y mecanismos de justicia cuando son objeto (o testigos) de corrupción (meta 16.5), cuando tienen problemas para acceder a los pagos del gobierno (como la asistencia de la red de seguridad social) o a los servicios públicos (meta 16.6), cuando tienen dificultades para obtener una identificación legal, como el registro de nacimiento (meta 16.9), o cuando sufren discriminación (meta 16.B). </w:t>
      </w:r>
    </w:p>
    <w:p w14:paraId="06FF39F6" w14:textId="79EBAC4E" w:rsidR="00934093" w:rsidRPr="00934093" w:rsidRDefault="00934093" w:rsidP="00934093">
      <w:pPr>
        <w:pStyle w:val="MGTHeader"/>
        <w:rPr>
          <w:lang w:val="es-MX"/>
        </w:rPr>
      </w:pPr>
      <w:r w:rsidRPr="00934093">
        <w:rPr>
          <w:lang w:val="es-MX"/>
        </w:rPr>
        <w:t xml:space="preserve">Además, el indicador se relaciona con otros Objetivos que tienen metas que transmiten aspiraciones a sociedades más justas y equitativas. Por ejemplo, las personas pueden necesitar acceder a instituciones y mecanismos de justicia cuando se enfrentan a la discriminación en la educación (meta 4.5), cuando son objeto de discriminación contra mujeres y niñas (meta 5.1), cuando buscan </w:t>
      </w:r>
      <w:r>
        <w:rPr>
          <w:lang w:val="es-MX"/>
        </w:rPr>
        <w:t>“</w:t>
      </w:r>
      <w:r w:rsidRPr="00934093">
        <w:rPr>
          <w:lang w:val="es-MX"/>
        </w:rPr>
        <w:t>igual salario por trabajo de igual valor</w:t>
      </w:r>
      <w:r>
        <w:rPr>
          <w:lang w:val="es-MX"/>
        </w:rPr>
        <w:t>”</w:t>
      </w:r>
      <w:r w:rsidRPr="00934093">
        <w:rPr>
          <w:lang w:val="es-MX"/>
        </w:rPr>
        <w:t xml:space="preserve"> (meta 8.5), cuando quieren que se respeten sus derechos laborales (meta 8.8), o cuando exigen que se respeten las leyes de igualdad de oportunidades (meta 10.3).</w:t>
      </w:r>
    </w:p>
    <w:p w14:paraId="256EF453" w14:textId="7E4D2EDA" w:rsidR="0005008F" w:rsidRPr="005A5AFB" w:rsidRDefault="00D24330" w:rsidP="0039287E">
      <w:pPr>
        <w:pStyle w:val="MIndHeader"/>
        <w:rPr>
          <w:lang w:val="es-MX"/>
        </w:rPr>
      </w:pPr>
      <w:r w:rsidRPr="005A5AFB">
        <w:rPr>
          <w:lang w:val="es-MX"/>
        </w:rPr>
        <w:t xml:space="preserve">0.g. </w:t>
      </w:r>
      <w:r w:rsidR="005A5AFB">
        <w:rPr>
          <w:lang w:val="es-MX"/>
        </w:rPr>
        <w:t>Organización (</w:t>
      </w:r>
      <w:r w:rsidR="005A5AFB" w:rsidRPr="004A2E21">
        <w:rPr>
          <w:lang w:val="es-MX"/>
        </w:rPr>
        <w:t>es</w:t>
      </w:r>
      <w:r w:rsidR="005A5AFB">
        <w:rPr>
          <w:lang w:val="es-MX"/>
        </w:rPr>
        <w:t>)</w:t>
      </w:r>
      <w:r w:rsidR="005A5AFB" w:rsidRPr="004A2E21">
        <w:rPr>
          <w:lang w:val="es-MX"/>
        </w:rPr>
        <w:t xml:space="preserve"> Internacional</w:t>
      </w:r>
      <w:r w:rsidR="005A5AFB">
        <w:rPr>
          <w:lang w:val="es-MX"/>
        </w:rPr>
        <w:t xml:space="preserve"> (</w:t>
      </w:r>
      <w:r w:rsidR="005A5AFB" w:rsidRPr="004A2E21">
        <w:rPr>
          <w:lang w:val="es-MX"/>
        </w:rPr>
        <w:t>es</w:t>
      </w:r>
      <w:r w:rsidR="005A5AFB">
        <w:rPr>
          <w:lang w:val="es-MX"/>
        </w:rPr>
        <w:t>)</w:t>
      </w:r>
      <w:r w:rsidR="005A5AFB" w:rsidRPr="004A2E21">
        <w:rPr>
          <w:lang w:val="es-MX"/>
        </w:rPr>
        <w:t xml:space="preserve"> responsabl</w:t>
      </w:r>
      <w:r w:rsidR="005A5AFB">
        <w:rPr>
          <w:lang w:val="es-MX"/>
        </w:rPr>
        <w:t>e (es) del monitoreo mundial</w:t>
      </w:r>
      <w:r w:rsidR="005A5AFB" w:rsidRPr="004A2E21">
        <w:rPr>
          <w:lang w:val="es-MX"/>
        </w:rPr>
        <w:t xml:space="preserve"> </w:t>
      </w:r>
      <w:r w:rsidRPr="005A5AFB">
        <w:rPr>
          <w:color w:val="B4B4B4"/>
          <w:sz w:val="20"/>
          <w:lang w:val="es-MX"/>
        </w:rPr>
        <w:t>(SDG_CUSTODIAN_AGENCIES)</w:t>
      </w:r>
    </w:p>
    <w:p w14:paraId="2C9FE1C8" w14:textId="5A1614D2" w:rsidR="0005008F" w:rsidRPr="00934093" w:rsidRDefault="00934093" w:rsidP="0039287E">
      <w:pPr>
        <w:pStyle w:val="MGTHeader"/>
        <w:rPr>
          <w:color w:val="4A4A4A"/>
          <w:lang w:val="es-MX"/>
        </w:rPr>
      </w:pPr>
      <w:r w:rsidRPr="00934093">
        <w:rPr>
          <w:lang w:val="es-MX"/>
        </w:rPr>
        <w:t xml:space="preserve">El Programa de las Naciones Unidas para el Desarrollo </w:t>
      </w:r>
      <w:r w:rsidR="00763E97" w:rsidRPr="00934093">
        <w:rPr>
          <w:lang w:val="es-MX"/>
        </w:rPr>
        <w:t xml:space="preserve">(UNDP), </w:t>
      </w:r>
      <w:r w:rsidR="005A5AFB" w:rsidRPr="00934093">
        <w:rPr>
          <w:lang w:val="es-MX"/>
        </w:rPr>
        <w:t xml:space="preserve">Oficina de Naciones Unidas contra la Droga y el Delito </w:t>
      </w:r>
      <w:r w:rsidR="00763E97" w:rsidRPr="00934093">
        <w:rPr>
          <w:lang w:val="es-MX"/>
        </w:rPr>
        <w:t xml:space="preserve">(UNODC) </w:t>
      </w:r>
      <w:r w:rsidR="005618D4">
        <w:rPr>
          <w:lang w:val="es-MX"/>
        </w:rPr>
        <w:t>y</w:t>
      </w:r>
      <w:r w:rsidR="00763E97" w:rsidRPr="00934093">
        <w:rPr>
          <w:lang w:val="es-MX"/>
        </w:rPr>
        <w:t xml:space="preserve"> </w:t>
      </w:r>
      <w:r w:rsidRPr="00934093">
        <w:rPr>
          <w:lang w:val="es-MX"/>
        </w:rPr>
        <w:t>La Organización para la Cooperación y el Desarrollo Económico</w:t>
      </w:r>
      <w:r w:rsidR="00763E97" w:rsidRPr="00934093">
        <w:rPr>
          <w:lang w:val="es-MX"/>
        </w:rPr>
        <w:t xml:space="preserve"> (OECD)</w:t>
      </w:r>
    </w:p>
    <w:p w14:paraId="0CA57007" w14:textId="77777777" w:rsidR="0005008F" w:rsidRDefault="0005008F" w:rsidP="0039287E">
      <w:pPr>
        <w:shd w:val="clear" w:color="auto" w:fill="FFFFFF"/>
        <w:spacing w:after="0"/>
        <w:rPr>
          <w:color w:val="4A4A4A"/>
          <w:sz w:val="21"/>
          <w:lang w:val="es-MX"/>
        </w:rPr>
      </w:pPr>
    </w:p>
    <w:p w14:paraId="370D8586" w14:textId="77777777" w:rsidR="00816472" w:rsidRDefault="00816472" w:rsidP="0039287E">
      <w:pPr>
        <w:shd w:val="clear" w:color="auto" w:fill="FFFFFF"/>
        <w:spacing w:after="0"/>
        <w:rPr>
          <w:color w:val="4A4A4A"/>
          <w:sz w:val="21"/>
          <w:lang w:val="es-MX"/>
        </w:rPr>
      </w:pPr>
    </w:p>
    <w:p w14:paraId="4A44F6F6" w14:textId="77777777" w:rsidR="00816472" w:rsidRDefault="00816472" w:rsidP="0039287E">
      <w:pPr>
        <w:shd w:val="clear" w:color="auto" w:fill="FFFFFF"/>
        <w:spacing w:after="0"/>
        <w:rPr>
          <w:color w:val="4A4A4A"/>
          <w:sz w:val="21"/>
          <w:lang w:val="es-MX"/>
        </w:rPr>
      </w:pPr>
    </w:p>
    <w:p w14:paraId="5629402A" w14:textId="77777777" w:rsidR="00816472" w:rsidRPr="00934093" w:rsidRDefault="00816472" w:rsidP="0039287E">
      <w:pPr>
        <w:shd w:val="clear" w:color="auto" w:fill="FFFFFF"/>
        <w:spacing w:after="0"/>
        <w:rPr>
          <w:color w:val="4A4A4A"/>
          <w:sz w:val="21"/>
          <w:lang w:val="es-MX"/>
        </w:rPr>
      </w:pPr>
    </w:p>
    <w:p w14:paraId="41C78320" w14:textId="548EB2EE" w:rsidR="0005008F" w:rsidRPr="005A5AFB" w:rsidRDefault="00B31E2C" w:rsidP="0039287E">
      <w:pPr>
        <w:pStyle w:val="MHeader"/>
        <w:rPr>
          <w:lang w:val="es-MX"/>
        </w:rPr>
      </w:pPr>
      <w:bookmarkStart w:id="0" w:name="_Toc37932744"/>
      <w:bookmarkStart w:id="1" w:name="_Toc36813072"/>
      <w:bookmarkStart w:id="2" w:name="_Toc36812685"/>
      <w:bookmarkStart w:id="3" w:name="_Toc36812572"/>
      <w:bookmarkStart w:id="4" w:name="_Toc36655609"/>
      <w:r w:rsidRPr="005A5AFB">
        <w:rPr>
          <w:lang w:val="es-MX"/>
        </w:rPr>
        <w:t xml:space="preserve">1. </w:t>
      </w:r>
      <w:bookmarkEnd w:id="0"/>
      <w:bookmarkEnd w:id="1"/>
      <w:bookmarkEnd w:id="2"/>
      <w:bookmarkEnd w:id="3"/>
      <w:bookmarkEnd w:id="4"/>
      <w:r w:rsidR="005A5AFB" w:rsidRPr="004A2E21">
        <w:rPr>
          <w:lang w:val="es-MX"/>
        </w:rPr>
        <w:t xml:space="preserve">Proveedor de datos </w:t>
      </w:r>
      <w:r w:rsidRPr="005A5AFB">
        <w:rPr>
          <w:color w:val="B4B4B4"/>
          <w:sz w:val="20"/>
          <w:lang w:val="es-MX"/>
        </w:rPr>
        <w:t>(CONTACT)</w:t>
      </w:r>
    </w:p>
    <w:p w14:paraId="1DFE4083" w14:textId="5D5AB23B" w:rsidR="0005008F" w:rsidRPr="005A5AFB" w:rsidRDefault="00576CFA" w:rsidP="0039287E">
      <w:pPr>
        <w:pStyle w:val="MHeader2"/>
        <w:rPr>
          <w:lang w:val="es-MX"/>
        </w:rPr>
      </w:pPr>
      <w:r w:rsidRPr="005A5AFB">
        <w:rPr>
          <w:lang w:val="es-MX"/>
        </w:rPr>
        <w:t xml:space="preserve">1.a. </w:t>
      </w:r>
      <w:r w:rsidR="00763E97" w:rsidRPr="005A5AFB">
        <w:rPr>
          <w:lang w:val="es-MX"/>
        </w:rPr>
        <w:t>Organi</w:t>
      </w:r>
      <w:r w:rsidR="005A5AFB" w:rsidRPr="005A5AFB">
        <w:rPr>
          <w:lang w:val="es-MX"/>
        </w:rPr>
        <w:t>z</w:t>
      </w:r>
      <w:r w:rsidR="00763E97" w:rsidRPr="005A5AFB">
        <w:rPr>
          <w:lang w:val="es-MX"/>
        </w:rPr>
        <w:t>a</w:t>
      </w:r>
      <w:r w:rsidR="005A5AFB" w:rsidRPr="005A5AFB">
        <w:rPr>
          <w:lang w:val="es-MX"/>
        </w:rPr>
        <w:t>c</w:t>
      </w:r>
      <w:r w:rsidR="00763E97" w:rsidRPr="005A5AFB">
        <w:rPr>
          <w:lang w:val="es-MX"/>
        </w:rPr>
        <w:t>i</w:t>
      </w:r>
      <w:r w:rsidR="005A5AFB" w:rsidRPr="005A5AFB">
        <w:rPr>
          <w:lang w:val="es-MX"/>
        </w:rPr>
        <w:t>ó</w:t>
      </w:r>
      <w:r w:rsidR="00763E97" w:rsidRPr="005A5AFB">
        <w:rPr>
          <w:lang w:val="es-MX"/>
        </w:rPr>
        <w:t>n</w:t>
      </w:r>
      <w:r w:rsidRPr="005A5AFB">
        <w:rPr>
          <w:lang w:val="es-MX"/>
        </w:rPr>
        <w:t xml:space="preserve"> </w:t>
      </w:r>
      <w:r w:rsidRPr="005A5AFB">
        <w:rPr>
          <w:color w:val="B4B4B4"/>
          <w:sz w:val="20"/>
          <w:lang w:val="es-MX"/>
        </w:rPr>
        <w:t>(CONTACT_ORGANISATION)</w:t>
      </w:r>
    </w:p>
    <w:p w14:paraId="713D9494" w14:textId="76EF3432" w:rsidR="00C97816" w:rsidRPr="005618D4" w:rsidRDefault="005618D4" w:rsidP="00576CFA">
      <w:pPr>
        <w:pStyle w:val="MText"/>
        <w:rPr>
          <w:lang w:val="es-MX"/>
        </w:rPr>
      </w:pPr>
      <w:r w:rsidRPr="00934093">
        <w:rPr>
          <w:lang w:val="es-MX"/>
        </w:rPr>
        <w:t xml:space="preserve">El Programa de las Naciones Unidas para el Desarrollo </w:t>
      </w:r>
      <w:r w:rsidR="00763E97" w:rsidRPr="005618D4">
        <w:rPr>
          <w:lang w:val="es-MX"/>
        </w:rPr>
        <w:t xml:space="preserve">(UNDP), </w:t>
      </w:r>
      <w:r w:rsidR="005A5AFB" w:rsidRPr="005618D4">
        <w:rPr>
          <w:lang w:val="es-MX"/>
        </w:rPr>
        <w:t xml:space="preserve">Oficina de Naciones Unidas contra la Droga y el Delito </w:t>
      </w:r>
      <w:r w:rsidR="00763E97" w:rsidRPr="005618D4">
        <w:rPr>
          <w:lang w:val="es-MX"/>
        </w:rPr>
        <w:t xml:space="preserve">(UNODC) </w:t>
      </w:r>
      <w:r>
        <w:rPr>
          <w:lang w:val="es-MX"/>
        </w:rPr>
        <w:t>y</w:t>
      </w:r>
      <w:r w:rsidRPr="00934093">
        <w:rPr>
          <w:lang w:val="es-MX"/>
        </w:rPr>
        <w:t xml:space="preserve"> La Organización para la Cooperación y el Desarrollo Económico </w:t>
      </w:r>
      <w:r w:rsidR="00763E97" w:rsidRPr="005618D4">
        <w:rPr>
          <w:lang w:val="es-MX"/>
        </w:rPr>
        <w:t>(OCD</w:t>
      </w:r>
      <w:r w:rsidR="00904D39">
        <w:rPr>
          <w:lang w:val="es-MX"/>
        </w:rPr>
        <w:t>E</w:t>
      </w:r>
      <w:r w:rsidR="00C97816" w:rsidRPr="005618D4">
        <w:rPr>
          <w:lang w:val="es-MX"/>
        </w:rPr>
        <w:t>)</w:t>
      </w:r>
      <w:r w:rsidRPr="005618D4">
        <w:rPr>
          <w:lang w:val="es-MX"/>
        </w:rPr>
        <w:t xml:space="preserve"> </w:t>
      </w:r>
    </w:p>
    <w:p w14:paraId="6279F869" w14:textId="77777777" w:rsidR="00F719A8" w:rsidRPr="005618D4" w:rsidRDefault="00F719A8" w:rsidP="00576CFA">
      <w:pPr>
        <w:pStyle w:val="MText"/>
        <w:rPr>
          <w:lang w:val="es-MX"/>
        </w:rPr>
      </w:pPr>
    </w:p>
    <w:p w14:paraId="278F4CE0" w14:textId="4E5B5E1B" w:rsidR="0005008F" w:rsidRPr="005A5AFB" w:rsidRDefault="00B31E2C" w:rsidP="00862D7D">
      <w:pPr>
        <w:pStyle w:val="MHeader"/>
        <w:rPr>
          <w:lang w:val="es-MX"/>
        </w:rPr>
      </w:pPr>
      <w:r w:rsidRPr="005A5AFB">
        <w:rPr>
          <w:lang w:val="es-MX"/>
        </w:rPr>
        <w:t xml:space="preserve">2. </w:t>
      </w:r>
      <w:r w:rsidR="005A5AFB" w:rsidRPr="0063163D">
        <w:rPr>
          <w:lang w:val="es-MX"/>
        </w:rPr>
        <w:t>Definición, conceptos y clasificaciones</w:t>
      </w:r>
      <w:r w:rsidRPr="005A5AFB">
        <w:rPr>
          <w:lang w:val="es-MX"/>
        </w:rPr>
        <w:t xml:space="preserve"> </w:t>
      </w:r>
      <w:r w:rsidRPr="005A5AFB">
        <w:rPr>
          <w:color w:val="B4B4B4"/>
          <w:sz w:val="20"/>
          <w:lang w:val="es-MX"/>
        </w:rPr>
        <w:t>(IND_DEF_CON_CLASS)</w:t>
      </w:r>
    </w:p>
    <w:p w14:paraId="3F84FAC7" w14:textId="2EF990FE" w:rsidR="0005008F" w:rsidRPr="005A5AFB" w:rsidRDefault="008B0AC7" w:rsidP="0039287E">
      <w:pPr>
        <w:pStyle w:val="MHeader2"/>
        <w:rPr>
          <w:lang w:val="es-MX"/>
        </w:rPr>
      </w:pPr>
      <w:r w:rsidRPr="005A5AFB">
        <w:rPr>
          <w:lang w:val="es-MX"/>
        </w:rPr>
        <w:t xml:space="preserve">2.a. </w:t>
      </w:r>
      <w:r w:rsidR="005A5AFB" w:rsidRPr="0063163D">
        <w:rPr>
          <w:lang w:val="es-MX"/>
        </w:rPr>
        <w:t xml:space="preserve">Definición y conceptos </w:t>
      </w:r>
      <w:r w:rsidRPr="005A5AFB">
        <w:rPr>
          <w:color w:val="B4B4B4"/>
          <w:sz w:val="20"/>
          <w:lang w:val="es-MX"/>
        </w:rPr>
        <w:t>(STAT_CONC_DEF)</w:t>
      </w:r>
    </w:p>
    <w:p w14:paraId="6B95701E" w14:textId="7D35E4F0" w:rsidR="0005008F" w:rsidRPr="005618D4" w:rsidRDefault="00763E97" w:rsidP="0039287E">
      <w:pPr>
        <w:shd w:val="clear" w:color="auto" w:fill="FFFFFF"/>
        <w:spacing w:after="0"/>
        <w:rPr>
          <w:color w:val="4A4A4A"/>
          <w:sz w:val="21"/>
          <w:lang w:val="es-MX"/>
        </w:rPr>
      </w:pPr>
      <w:r w:rsidRPr="005618D4">
        <w:rPr>
          <w:b/>
          <w:color w:val="4A4A4A"/>
          <w:sz w:val="21"/>
          <w:lang w:val="es-MX"/>
        </w:rPr>
        <w:t>Defini</w:t>
      </w:r>
      <w:r w:rsidR="005618D4" w:rsidRPr="005618D4">
        <w:rPr>
          <w:b/>
          <w:color w:val="4A4A4A"/>
          <w:sz w:val="21"/>
          <w:lang w:val="es-MX"/>
        </w:rPr>
        <w:t>c</w:t>
      </w:r>
      <w:r w:rsidRPr="005618D4">
        <w:rPr>
          <w:b/>
          <w:color w:val="4A4A4A"/>
          <w:sz w:val="21"/>
          <w:lang w:val="es-MX"/>
        </w:rPr>
        <w:t>i</w:t>
      </w:r>
      <w:r w:rsidR="005618D4" w:rsidRPr="005618D4">
        <w:rPr>
          <w:b/>
          <w:color w:val="4A4A4A"/>
          <w:sz w:val="21"/>
          <w:lang w:val="es-MX"/>
        </w:rPr>
        <w:t>ó</w:t>
      </w:r>
      <w:r w:rsidRPr="005618D4">
        <w:rPr>
          <w:b/>
          <w:color w:val="4A4A4A"/>
          <w:sz w:val="21"/>
          <w:lang w:val="es-MX"/>
        </w:rPr>
        <w:t>n:</w:t>
      </w:r>
    </w:p>
    <w:p w14:paraId="64425617" w14:textId="2319D06D" w:rsidR="0005008F" w:rsidRPr="005618D4" w:rsidRDefault="005618D4" w:rsidP="00862D7D">
      <w:pPr>
        <w:shd w:val="clear" w:color="auto" w:fill="FFFFFF" w:themeFill="background1"/>
        <w:rPr>
          <w:rFonts w:eastAsia="Times New Roman" w:cs="Times New Roman"/>
          <w:color w:val="4A4A4A"/>
          <w:sz w:val="21"/>
          <w:szCs w:val="21"/>
          <w:lang w:val="es-MX" w:eastAsia="en-GB"/>
        </w:rPr>
      </w:pPr>
      <w:r w:rsidRPr="005618D4">
        <w:rPr>
          <w:rFonts w:eastAsia="Times New Roman" w:cs="Times New Roman"/>
          <w:color w:val="4A4A4A"/>
          <w:sz w:val="21"/>
          <w:szCs w:val="21"/>
          <w:lang w:val="es-MX" w:eastAsia="en-GB"/>
        </w:rPr>
        <w:t>Número de personas que sufrieron un</w:t>
      </w:r>
      <w:r w:rsidR="00142D30">
        <w:rPr>
          <w:rFonts w:eastAsia="Times New Roman" w:cs="Times New Roman"/>
          <w:color w:val="4A4A4A"/>
          <w:sz w:val="21"/>
          <w:szCs w:val="21"/>
          <w:lang w:val="es-MX" w:eastAsia="en-GB"/>
        </w:rPr>
        <w:t>a disputa/</w:t>
      </w:r>
      <w:r w:rsidR="00816472">
        <w:rPr>
          <w:rFonts w:eastAsia="Times New Roman" w:cs="Times New Roman"/>
          <w:color w:val="4A4A4A"/>
          <w:sz w:val="21"/>
          <w:szCs w:val="21"/>
          <w:lang w:val="es-MX" w:eastAsia="en-GB"/>
        </w:rPr>
        <w:t>conflictos</w:t>
      </w:r>
      <w:r w:rsidRPr="005618D4">
        <w:rPr>
          <w:rFonts w:eastAsia="Times New Roman" w:cs="Times New Roman"/>
          <w:color w:val="4A4A4A"/>
          <w:sz w:val="21"/>
          <w:szCs w:val="21"/>
          <w:lang w:val="es-MX" w:eastAsia="en-GB"/>
        </w:rPr>
        <w:t xml:space="preserve"> en los dos últimos años y que accedieron a un mecanismo formal o informal de resolución de </w:t>
      </w:r>
      <w:r w:rsidR="00142D30">
        <w:rPr>
          <w:rFonts w:eastAsia="Times New Roman" w:cs="Times New Roman"/>
          <w:color w:val="4A4A4A"/>
          <w:sz w:val="21"/>
          <w:szCs w:val="21"/>
          <w:lang w:val="es-MX" w:eastAsia="en-GB"/>
        </w:rPr>
        <w:t>disputas/</w:t>
      </w:r>
      <w:r w:rsidR="00816472">
        <w:rPr>
          <w:rFonts w:eastAsia="Times New Roman" w:cs="Times New Roman"/>
          <w:color w:val="4A4A4A"/>
          <w:sz w:val="21"/>
          <w:szCs w:val="21"/>
          <w:lang w:val="es-MX" w:eastAsia="en-GB"/>
        </w:rPr>
        <w:t>conflicto</w:t>
      </w:r>
      <w:r w:rsidR="00142D30">
        <w:rPr>
          <w:rFonts w:eastAsia="Times New Roman" w:cs="Times New Roman"/>
          <w:color w:val="4A4A4A"/>
          <w:sz w:val="21"/>
          <w:szCs w:val="21"/>
          <w:lang w:val="es-MX" w:eastAsia="en-GB"/>
        </w:rPr>
        <w:t>s</w:t>
      </w:r>
      <w:r w:rsidRPr="005618D4">
        <w:rPr>
          <w:rFonts w:eastAsia="Times New Roman" w:cs="Times New Roman"/>
          <w:color w:val="4A4A4A"/>
          <w:sz w:val="21"/>
          <w:szCs w:val="21"/>
          <w:lang w:val="es-MX" w:eastAsia="en-GB"/>
        </w:rPr>
        <w:t>, en porcentaje del total de personas que sufrieron un</w:t>
      </w:r>
      <w:r w:rsidR="00142D30">
        <w:rPr>
          <w:rFonts w:eastAsia="Times New Roman" w:cs="Times New Roman"/>
          <w:color w:val="4A4A4A"/>
          <w:sz w:val="21"/>
          <w:szCs w:val="21"/>
          <w:lang w:val="es-MX" w:eastAsia="en-GB"/>
        </w:rPr>
        <w:t>a</w:t>
      </w:r>
      <w:r w:rsidRPr="005618D4">
        <w:rPr>
          <w:rFonts w:eastAsia="Times New Roman" w:cs="Times New Roman"/>
          <w:color w:val="4A4A4A"/>
          <w:sz w:val="21"/>
          <w:szCs w:val="21"/>
          <w:lang w:val="es-MX" w:eastAsia="en-GB"/>
        </w:rPr>
        <w:t xml:space="preserve"> </w:t>
      </w:r>
      <w:r w:rsidR="00142D30">
        <w:rPr>
          <w:rFonts w:eastAsia="Times New Roman" w:cs="Times New Roman"/>
          <w:color w:val="4A4A4A"/>
          <w:sz w:val="21"/>
          <w:szCs w:val="21"/>
          <w:lang w:val="es-MX" w:eastAsia="en-GB"/>
        </w:rPr>
        <w:t>disputa/</w:t>
      </w:r>
      <w:r w:rsidR="00816472">
        <w:rPr>
          <w:rFonts w:eastAsia="Times New Roman" w:cs="Times New Roman"/>
          <w:color w:val="4A4A4A"/>
          <w:sz w:val="21"/>
          <w:szCs w:val="21"/>
          <w:lang w:val="es-MX" w:eastAsia="en-GB"/>
        </w:rPr>
        <w:t>conflicto</w:t>
      </w:r>
      <w:r w:rsidRPr="005618D4">
        <w:rPr>
          <w:rFonts w:eastAsia="Times New Roman" w:cs="Times New Roman"/>
          <w:color w:val="4A4A4A"/>
          <w:sz w:val="21"/>
          <w:szCs w:val="21"/>
          <w:lang w:val="es-MX" w:eastAsia="en-GB"/>
        </w:rPr>
        <w:t xml:space="preserve"> en los dos últimos años, por tipo de mecanismo.</w:t>
      </w:r>
    </w:p>
    <w:p w14:paraId="5FED8C37" w14:textId="179CCBD8" w:rsidR="0005008F" w:rsidRPr="00142D30" w:rsidRDefault="00763E97" w:rsidP="0039287E">
      <w:pPr>
        <w:shd w:val="clear" w:color="auto" w:fill="FFFFFF"/>
        <w:spacing w:after="0"/>
        <w:rPr>
          <w:color w:val="4A4A4A"/>
          <w:sz w:val="21"/>
          <w:lang w:val="es-MX"/>
        </w:rPr>
      </w:pPr>
      <w:r w:rsidRPr="00142D30">
        <w:rPr>
          <w:b/>
          <w:color w:val="4A4A4A"/>
          <w:sz w:val="21"/>
          <w:lang w:val="es-MX"/>
        </w:rPr>
        <w:t>Concept</w:t>
      </w:r>
      <w:r w:rsidR="005618D4" w:rsidRPr="00142D30">
        <w:rPr>
          <w:b/>
          <w:color w:val="4A4A4A"/>
          <w:sz w:val="21"/>
          <w:lang w:val="es-MX"/>
        </w:rPr>
        <w:t>o</w:t>
      </w:r>
      <w:r w:rsidRPr="00142D30">
        <w:rPr>
          <w:b/>
          <w:color w:val="4A4A4A"/>
          <w:sz w:val="21"/>
          <w:lang w:val="es-MX"/>
        </w:rPr>
        <w:t>s:</w:t>
      </w:r>
    </w:p>
    <w:p w14:paraId="37290E58" w14:textId="0CBE0E1B" w:rsidR="0005008F" w:rsidRPr="00904D39" w:rsidRDefault="00142D30" w:rsidP="0039287E">
      <w:pPr>
        <w:rPr>
          <w:rFonts w:ascii="Calibri" w:hAnsi="Calibri"/>
          <w:color w:val="4A4A4A"/>
          <w:sz w:val="21"/>
          <w:lang w:val="es-MX"/>
        </w:rPr>
      </w:pPr>
      <w:r w:rsidRPr="00142D30">
        <w:rPr>
          <w:rFonts w:eastAsia="Times New Roman" w:cs="Times New Roman"/>
          <w:color w:val="4A4A4A"/>
          <w:sz w:val="21"/>
          <w:szCs w:val="21"/>
          <w:lang w:val="es-MX" w:eastAsia="en-GB"/>
        </w:rPr>
        <w:t xml:space="preserve">Una </w:t>
      </w:r>
      <w:r w:rsidRPr="00142D30">
        <w:rPr>
          <w:rFonts w:eastAsia="Times New Roman" w:cs="Times New Roman"/>
          <w:color w:val="4A4A4A"/>
          <w:sz w:val="21"/>
          <w:szCs w:val="21"/>
          <w:u w:val="single"/>
          <w:lang w:val="es-MX" w:eastAsia="en-GB"/>
        </w:rPr>
        <w:t>disputa</w:t>
      </w:r>
      <w:r w:rsidRPr="00142D30">
        <w:rPr>
          <w:rFonts w:eastAsia="Times New Roman" w:cs="Times New Roman"/>
          <w:color w:val="4A4A4A"/>
          <w:sz w:val="21"/>
          <w:szCs w:val="21"/>
          <w:lang w:val="es-MX" w:eastAsia="en-GB"/>
        </w:rPr>
        <w:t xml:space="preserve"> puede entenderse como un </w:t>
      </w:r>
      <w:r w:rsidRPr="00142D30">
        <w:rPr>
          <w:rFonts w:eastAsia="Times New Roman" w:cs="Times New Roman"/>
          <w:color w:val="4A4A4A"/>
          <w:sz w:val="21"/>
          <w:szCs w:val="21"/>
          <w:u w:val="single"/>
          <w:lang w:val="es-MX" w:eastAsia="en-GB"/>
        </w:rPr>
        <w:t>problema justiciable</w:t>
      </w:r>
      <w:r w:rsidRPr="00142D30">
        <w:rPr>
          <w:rFonts w:eastAsia="Times New Roman" w:cs="Times New Roman"/>
          <w:color w:val="4A4A4A"/>
          <w:sz w:val="21"/>
          <w:szCs w:val="21"/>
          <w:lang w:val="es-MX" w:eastAsia="en-GB"/>
        </w:rPr>
        <w:t xml:space="preserve"> entre individuos o entre individuo(s) y una entidad. Los problemas justiciables pueden considerarse como los que dan lugar a cuestiones jurídicas, independientemente de que los problemas sean percibidos como «jurídicos» por quienes se enfrentan a ellos y de que se haya emprendido o no alguna acción legal como consecuencia del problema</w:t>
      </w:r>
      <w:r w:rsidRPr="00142D30">
        <w:rPr>
          <w:color w:val="4A4A4A"/>
          <w:lang w:val="es-MX"/>
        </w:rPr>
        <w:t>.</w:t>
      </w:r>
      <w:r w:rsidR="00325DEB" w:rsidRPr="007A6A3A">
        <w:rPr>
          <w:color w:val="4A4A4A"/>
          <w:vertAlign w:val="superscript"/>
          <w:lang w:eastAsia="en-GB"/>
        </w:rPr>
        <w:footnoteReference w:id="2"/>
      </w:r>
    </w:p>
    <w:p w14:paraId="3D18232E" w14:textId="22AC02D4" w:rsidR="0005008F" w:rsidRPr="00142D30" w:rsidRDefault="00142D30" w:rsidP="0039287E">
      <w:pPr>
        <w:shd w:val="clear" w:color="auto" w:fill="FFFFFF" w:themeFill="background1"/>
        <w:spacing w:after="0"/>
        <w:jc w:val="both"/>
        <w:rPr>
          <w:color w:val="4A4A4A"/>
          <w:lang w:val="es-MX"/>
        </w:rPr>
      </w:pPr>
      <w:r w:rsidRPr="00142D30">
        <w:rPr>
          <w:rFonts w:eastAsia="Times New Roman" w:cs="Times New Roman"/>
          <w:color w:val="4A4A4A"/>
          <w:sz w:val="21"/>
          <w:szCs w:val="21"/>
          <w:lang w:val="es-MX" w:eastAsia="en-GB"/>
        </w:rPr>
        <w:t xml:space="preserve">Las categorías de </w:t>
      </w:r>
      <w:r>
        <w:rPr>
          <w:rFonts w:eastAsia="Times New Roman" w:cs="Times New Roman"/>
          <w:color w:val="4A4A4A"/>
          <w:sz w:val="21"/>
          <w:szCs w:val="21"/>
          <w:lang w:val="es-MX" w:eastAsia="en-GB"/>
        </w:rPr>
        <w:t>disputas/</w:t>
      </w:r>
      <w:r w:rsidR="00816472">
        <w:rPr>
          <w:rFonts w:eastAsia="Times New Roman" w:cs="Times New Roman"/>
          <w:color w:val="4A4A4A"/>
          <w:sz w:val="21"/>
          <w:szCs w:val="21"/>
          <w:lang w:val="es-MX" w:eastAsia="en-GB"/>
        </w:rPr>
        <w:t>conflicto</w:t>
      </w:r>
      <w:r>
        <w:rPr>
          <w:rFonts w:eastAsia="Times New Roman" w:cs="Times New Roman"/>
          <w:color w:val="4A4A4A"/>
          <w:sz w:val="21"/>
          <w:szCs w:val="21"/>
          <w:lang w:val="es-MX" w:eastAsia="en-GB"/>
        </w:rPr>
        <w:t>s</w:t>
      </w:r>
      <w:r w:rsidRPr="00142D30">
        <w:rPr>
          <w:rFonts w:eastAsia="Times New Roman" w:cs="Times New Roman"/>
          <w:color w:val="4A4A4A"/>
          <w:sz w:val="21"/>
          <w:szCs w:val="21"/>
          <w:lang w:val="es-MX" w:eastAsia="en-GB"/>
        </w:rPr>
        <w:t xml:space="preserve"> pueden variar de un país a otro en función de factores sociales, económicos, políticos, jurídicos, institucionales y culturales. No obstante, hay una serie de categorías que tienen una amplia aplicabilidad en todos los países, como los problemas o disputas relacionados con</w:t>
      </w:r>
      <w:r w:rsidR="00763E97" w:rsidRPr="00142D30">
        <w:rPr>
          <w:color w:val="4A4A4A"/>
          <w:lang w:val="es-MX"/>
        </w:rPr>
        <w:t>:</w:t>
      </w:r>
      <w:r w:rsidR="00325DEB" w:rsidRPr="007A6A3A">
        <w:rPr>
          <w:rStyle w:val="FootnoteReference"/>
          <w:color w:val="4A4A4A"/>
        </w:rPr>
        <w:footnoteReference w:id="3"/>
      </w:r>
    </w:p>
    <w:p w14:paraId="185C4961" w14:textId="12AAC3F1"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Terrenos o compraventa de propiedades</w:t>
      </w:r>
    </w:p>
    <w:p w14:paraId="2777C41D" w14:textId="0086A5BF" w:rsidR="00142D30" w:rsidRPr="00142D30" w:rsidRDefault="00142D30" w:rsidP="00142D30">
      <w:pPr>
        <w:pStyle w:val="ListParagraph"/>
        <w:numPr>
          <w:ilvl w:val="0"/>
          <w:numId w:val="16"/>
        </w:numPr>
        <w:shd w:val="clear" w:color="auto" w:fill="FFFFFF" w:themeFill="background1"/>
        <w:jc w:val="both"/>
        <w:rPr>
          <w:color w:val="4A4A4A"/>
          <w:sz w:val="21"/>
          <w:szCs w:val="21"/>
        </w:rPr>
      </w:pPr>
      <w:proofErr w:type="spellStart"/>
      <w:r w:rsidRPr="00142D30">
        <w:rPr>
          <w:color w:val="4A4A4A"/>
          <w:sz w:val="21"/>
          <w:szCs w:val="21"/>
        </w:rPr>
        <w:t>Rupturas</w:t>
      </w:r>
      <w:proofErr w:type="spellEnd"/>
      <w:r w:rsidRPr="00142D30">
        <w:rPr>
          <w:color w:val="4A4A4A"/>
          <w:sz w:val="21"/>
          <w:szCs w:val="21"/>
        </w:rPr>
        <w:t xml:space="preserve"> </w:t>
      </w:r>
      <w:proofErr w:type="spellStart"/>
      <w:r w:rsidRPr="00142D30">
        <w:rPr>
          <w:color w:val="4A4A4A"/>
          <w:sz w:val="21"/>
          <w:szCs w:val="21"/>
        </w:rPr>
        <w:t>familiares</w:t>
      </w:r>
      <w:proofErr w:type="spellEnd"/>
      <w:r w:rsidRPr="00142D30">
        <w:rPr>
          <w:color w:val="4A4A4A"/>
          <w:sz w:val="21"/>
          <w:szCs w:val="21"/>
        </w:rPr>
        <w:t xml:space="preserve"> y </w:t>
      </w:r>
      <w:proofErr w:type="spellStart"/>
      <w:r w:rsidRPr="00142D30">
        <w:rPr>
          <w:color w:val="4A4A4A"/>
          <w:sz w:val="21"/>
          <w:szCs w:val="21"/>
        </w:rPr>
        <w:t>sentimentales</w:t>
      </w:r>
      <w:proofErr w:type="spellEnd"/>
    </w:p>
    <w:p w14:paraId="38AB5704" w14:textId="077AEBBF"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Lesiones o enfermedades causadas por un acto u omisión, intencionado o no, de otra persona o entidad</w:t>
      </w:r>
    </w:p>
    <w:p w14:paraId="2035FD10" w14:textId="10DF6BA1" w:rsidR="00142D30" w:rsidRPr="00142D30" w:rsidRDefault="00142D30" w:rsidP="00142D30">
      <w:pPr>
        <w:pStyle w:val="ListParagraph"/>
        <w:numPr>
          <w:ilvl w:val="0"/>
          <w:numId w:val="16"/>
        </w:numPr>
        <w:shd w:val="clear" w:color="auto" w:fill="FFFFFF" w:themeFill="background1"/>
        <w:jc w:val="both"/>
        <w:rPr>
          <w:color w:val="4A4A4A"/>
          <w:sz w:val="21"/>
          <w:szCs w:val="21"/>
        </w:rPr>
      </w:pPr>
      <w:proofErr w:type="spellStart"/>
      <w:r w:rsidRPr="00142D30">
        <w:rPr>
          <w:color w:val="4A4A4A"/>
          <w:sz w:val="21"/>
          <w:szCs w:val="21"/>
        </w:rPr>
        <w:t>Ocupación</w:t>
      </w:r>
      <w:proofErr w:type="spellEnd"/>
      <w:r w:rsidRPr="00142D30">
        <w:rPr>
          <w:color w:val="4A4A4A"/>
          <w:sz w:val="21"/>
          <w:szCs w:val="21"/>
        </w:rPr>
        <w:t>/</w:t>
      </w:r>
      <w:proofErr w:type="spellStart"/>
      <w:r w:rsidRPr="00142D30">
        <w:rPr>
          <w:color w:val="4A4A4A"/>
          <w:sz w:val="21"/>
          <w:szCs w:val="21"/>
        </w:rPr>
        <w:t>empleo</w:t>
      </w:r>
      <w:proofErr w:type="spellEnd"/>
    </w:p>
    <w:p w14:paraId="523A02A9" w14:textId="78B85816"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Transacciones comerciales (incluidos bienes o servicios defectuosos o no entregados)</w:t>
      </w:r>
    </w:p>
    <w:p w14:paraId="168501E9" w14:textId="6125F023"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Gobierno y servicios públicos (incluidos abusos por parte de funcionarios públicos)</w:t>
      </w:r>
    </w:p>
    <w:p w14:paraId="07A70C6F" w14:textId="7E76E51E" w:rsidR="00142D30" w:rsidRPr="00142D30" w:rsidRDefault="00142D30" w:rsidP="00142D30">
      <w:pPr>
        <w:pStyle w:val="ListParagraph"/>
        <w:numPr>
          <w:ilvl w:val="0"/>
          <w:numId w:val="16"/>
        </w:numPr>
        <w:shd w:val="clear" w:color="auto" w:fill="FFFFFF" w:themeFill="background1"/>
        <w:jc w:val="both"/>
        <w:rPr>
          <w:color w:val="4A4A4A"/>
          <w:sz w:val="21"/>
          <w:szCs w:val="21"/>
        </w:rPr>
      </w:pPr>
      <w:r w:rsidRPr="00142D30">
        <w:rPr>
          <w:color w:val="4A4A4A"/>
          <w:sz w:val="21"/>
          <w:szCs w:val="21"/>
        </w:rPr>
        <w:t xml:space="preserve">Pagos del </w:t>
      </w:r>
      <w:proofErr w:type="spellStart"/>
      <w:r w:rsidRPr="00142D30">
        <w:rPr>
          <w:color w:val="4A4A4A"/>
          <w:sz w:val="21"/>
          <w:szCs w:val="21"/>
        </w:rPr>
        <w:t>Gobierno</w:t>
      </w:r>
      <w:proofErr w:type="spellEnd"/>
      <w:r w:rsidRPr="00142D30">
        <w:rPr>
          <w:color w:val="4A4A4A"/>
          <w:sz w:val="21"/>
          <w:szCs w:val="21"/>
        </w:rPr>
        <w:t xml:space="preserve"> </w:t>
      </w:r>
    </w:p>
    <w:p w14:paraId="2E94A810" w14:textId="76E744CF" w:rsidR="00142D30" w:rsidRPr="00142D30" w:rsidRDefault="00142D30" w:rsidP="00142D30">
      <w:pPr>
        <w:pStyle w:val="ListParagraph"/>
        <w:numPr>
          <w:ilvl w:val="0"/>
          <w:numId w:val="16"/>
        </w:numPr>
        <w:shd w:val="clear" w:color="auto" w:fill="FFFFFF" w:themeFill="background1"/>
        <w:jc w:val="both"/>
        <w:rPr>
          <w:color w:val="4A4A4A"/>
          <w:sz w:val="21"/>
          <w:szCs w:val="21"/>
        </w:rPr>
      </w:pPr>
      <w:r w:rsidRPr="00142D30">
        <w:rPr>
          <w:color w:val="4A4A4A"/>
          <w:sz w:val="21"/>
          <w:szCs w:val="21"/>
        </w:rPr>
        <w:t xml:space="preserve">Vivienda (inquilino y </w:t>
      </w:r>
      <w:proofErr w:type="spellStart"/>
      <w:r w:rsidRPr="00142D30">
        <w:rPr>
          <w:color w:val="4A4A4A"/>
          <w:sz w:val="21"/>
          <w:szCs w:val="21"/>
        </w:rPr>
        <w:t>propietario</w:t>
      </w:r>
      <w:proofErr w:type="spellEnd"/>
      <w:r w:rsidRPr="00142D30">
        <w:rPr>
          <w:color w:val="4A4A4A"/>
          <w:sz w:val="21"/>
          <w:szCs w:val="21"/>
        </w:rPr>
        <w:t xml:space="preserve">) </w:t>
      </w:r>
    </w:p>
    <w:p w14:paraId="180027F6" w14:textId="53A9C3E4"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Deudas, indemnizaciones por daños y otros asuntos financieros</w:t>
      </w:r>
    </w:p>
    <w:p w14:paraId="66E2D03D" w14:textId="79A38ED0"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Daños medioambientales (contaminación del suelo o el agua, vertido de residuos, etc.)</w:t>
      </w:r>
    </w:p>
    <w:p w14:paraId="731EDD1F" w14:textId="2403706A" w:rsidR="0005008F" w:rsidRDefault="00142D30" w:rsidP="0039287E">
      <w:pPr>
        <w:shd w:val="clear" w:color="auto" w:fill="FFFFFF" w:themeFill="background1"/>
        <w:jc w:val="both"/>
        <w:rPr>
          <w:color w:val="4A4A4A"/>
          <w:sz w:val="21"/>
          <w:szCs w:val="21"/>
          <w:lang w:val="es-MX"/>
        </w:rPr>
      </w:pPr>
      <w:r w:rsidRPr="00142D30">
        <w:rPr>
          <w:color w:val="4A4A4A"/>
          <w:sz w:val="21"/>
          <w:szCs w:val="21"/>
          <w:u w:val="single"/>
          <w:lang w:val="es-MX"/>
        </w:rPr>
        <w:t>Los mecanismos de resolución de conflictos</w:t>
      </w:r>
      <w:r w:rsidRPr="00142D30">
        <w:rPr>
          <w:color w:val="4A4A4A"/>
          <w:sz w:val="21"/>
          <w:szCs w:val="21"/>
          <w:lang w:val="es-MX"/>
        </w:rPr>
        <w:t xml:space="preserve"> varían según los países alrededor del mundo. Mientras que en muchos países los tribunales representan la principal institución que se ocupa de los </w:t>
      </w:r>
      <w:r w:rsidR="00816472">
        <w:rPr>
          <w:color w:val="4A4A4A"/>
          <w:sz w:val="21"/>
          <w:szCs w:val="21"/>
          <w:lang w:val="es-MX"/>
        </w:rPr>
        <w:t>conflictos</w:t>
      </w:r>
      <w:r w:rsidRPr="00142D30">
        <w:rPr>
          <w:color w:val="4A4A4A"/>
          <w:sz w:val="21"/>
          <w:szCs w:val="21"/>
          <w:lang w:val="es-MX"/>
        </w:rPr>
        <w:t xml:space="preserve"> de naturaleza civil, puede que no ocurra lo mismo en países o sociedades en los que el primer punto de referencia en estos casos son los sistemas informales, los líderes tradicionales o religiosos. La formulación del indicador, y la formulación de las preguntas de la encuesta, deben tener en cuenta estas diferencias y asegurarse de incluir todas las instituciones o mecanismos pertinentes generalmente reconocidos y utilizados.</w:t>
      </w:r>
    </w:p>
    <w:p w14:paraId="3EE8F1B2" w14:textId="77777777" w:rsidR="00816472" w:rsidRDefault="00816472" w:rsidP="0039287E">
      <w:pPr>
        <w:shd w:val="clear" w:color="auto" w:fill="FFFFFF" w:themeFill="background1"/>
        <w:jc w:val="both"/>
        <w:rPr>
          <w:color w:val="4A4A4A"/>
          <w:sz w:val="21"/>
          <w:szCs w:val="21"/>
          <w:lang w:val="es-MX"/>
        </w:rPr>
      </w:pPr>
    </w:p>
    <w:p w14:paraId="755E8A69" w14:textId="77777777" w:rsidR="00142D30" w:rsidRPr="00142D30" w:rsidRDefault="00142D30" w:rsidP="00142D30">
      <w:pPr>
        <w:shd w:val="clear" w:color="auto" w:fill="FFFFFF" w:themeFill="background1"/>
        <w:jc w:val="both"/>
        <w:rPr>
          <w:color w:val="4A4A4A"/>
          <w:sz w:val="21"/>
          <w:szCs w:val="21"/>
          <w:lang w:val="es-MX"/>
        </w:rPr>
      </w:pPr>
      <w:r w:rsidRPr="00142D30">
        <w:rPr>
          <w:color w:val="4A4A4A"/>
          <w:sz w:val="21"/>
          <w:szCs w:val="21"/>
          <w:lang w:val="es-MX"/>
        </w:rPr>
        <w:t xml:space="preserve">Una lista de mecanismos de resolución de conflictos podría incluir: </w:t>
      </w:r>
    </w:p>
    <w:p w14:paraId="46F0E670" w14:textId="7BF093F5"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Un abogado o la mediación de un tercero</w:t>
      </w:r>
    </w:p>
    <w:p w14:paraId="22C5401D" w14:textId="040CBD5B"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 xml:space="preserve">Líderes comunitarios o religiosos u otros mecanismos del derecho consuetudinario </w:t>
      </w:r>
    </w:p>
    <w:p w14:paraId="043961D2" w14:textId="72F1F41B" w:rsidR="00142D30" w:rsidRPr="00142D30" w:rsidRDefault="00142D30" w:rsidP="00142D30">
      <w:pPr>
        <w:pStyle w:val="ListParagraph"/>
        <w:numPr>
          <w:ilvl w:val="0"/>
          <w:numId w:val="16"/>
        </w:numPr>
        <w:shd w:val="clear" w:color="auto" w:fill="FFFFFF" w:themeFill="background1"/>
        <w:jc w:val="both"/>
        <w:rPr>
          <w:color w:val="4A4A4A"/>
          <w:sz w:val="21"/>
          <w:szCs w:val="21"/>
        </w:rPr>
      </w:pPr>
      <w:r w:rsidRPr="00142D30">
        <w:rPr>
          <w:color w:val="4A4A4A"/>
          <w:sz w:val="21"/>
          <w:szCs w:val="21"/>
        </w:rPr>
        <w:t xml:space="preserve">Un </w:t>
      </w:r>
      <w:proofErr w:type="spellStart"/>
      <w:r w:rsidRPr="00142D30">
        <w:rPr>
          <w:color w:val="4A4A4A"/>
          <w:sz w:val="21"/>
          <w:szCs w:val="21"/>
        </w:rPr>
        <w:t>juzgado</w:t>
      </w:r>
      <w:proofErr w:type="spellEnd"/>
      <w:r w:rsidRPr="00142D30">
        <w:rPr>
          <w:color w:val="4A4A4A"/>
          <w:sz w:val="21"/>
          <w:szCs w:val="21"/>
        </w:rPr>
        <w:t xml:space="preserve"> o tribunal</w:t>
      </w:r>
    </w:p>
    <w:p w14:paraId="286A5B21" w14:textId="631DCC1D" w:rsidR="00142D30" w:rsidRPr="00142D30" w:rsidRDefault="00142D30" w:rsidP="00142D30">
      <w:pPr>
        <w:pStyle w:val="ListParagraph"/>
        <w:numPr>
          <w:ilvl w:val="0"/>
          <w:numId w:val="16"/>
        </w:numPr>
        <w:shd w:val="clear" w:color="auto" w:fill="FFFFFF" w:themeFill="background1"/>
        <w:jc w:val="both"/>
        <w:rPr>
          <w:color w:val="4A4A4A"/>
          <w:sz w:val="21"/>
          <w:szCs w:val="21"/>
        </w:rPr>
      </w:pPr>
      <w:r w:rsidRPr="00142D30">
        <w:rPr>
          <w:color w:val="4A4A4A"/>
          <w:sz w:val="21"/>
          <w:szCs w:val="21"/>
        </w:rPr>
        <w:t xml:space="preserve">La </w:t>
      </w:r>
      <w:proofErr w:type="spellStart"/>
      <w:r w:rsidRPr="00142D30">
        <w:rPr>
          <w:color w:val="4A4A4A"/>
          <w:sz w:val="21"/>
          <w:szCs w:val="21"/>
        </w:rPr>
        <w:t>policía</w:t>
      </w:r>
      <w:proofErr w:type="spellEnd"/>
    </w:p>
    <w:p w14:paraId="1336D06A" w14:textId="06B0090E"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Una oficina gubernamental u otra autoridad o agencia formal designada</w:t>
      </w:r>
    </w:p>
    <w:p w14:paraId="0C083B5F" w14:textId="109AE7FF" w:rsidR="00142D30" w:rsidRPr="00142D30" w:rsidRDefault="00142D30" w:rsidP="00142D30">
      <w:pPr>
        <w:pStyle w:val="ListParagraph"/>
        <w:numPr>
          <w:ilvl w:val="0"/>
          <w:numId w:val="16"/>
        </w:numPr>
        <w:shd w:val="clear" w:color="auto" w:fill="FFFFFF" w:themeFill="background1"/>
        <w:jc w:val="both"/>
        <w:rPr>
          <w:color w:val="4A4A4A"/>
          <w:sz w:val="21"/>
          <w:szCs w:val="21"/>
          <w:lang w:val="es-MX"/>
        </w:rPr>
      </w:pPr>
      <w:r w:rsidRPr="00142D30">
        <w:rPr>
          <w:color w:val="4A4A4A"/>
          <w:sz w:val="21"/>
          <w:szCs w:val="21"/>
          <w:lang w:val="es-MX"/>
        </w:rPr>
        <w:t>Otro procedimiento formal de reclamación o apelación</w:t>
      </w:r>
    </w:p>
    <w:p w14:paraId="479E2E5D" w14:textId="28DFE79D" w:rsidR="00142D30" w:rsidRPr="00142D30" w:rsidRDefault="00142D30" w:rsidP="00896648">
      <w:pPr>
        <w:shd w:val="clear" w:color="auto" w:fill="FFFFFF"/>
        <w:spacing w:after="0"/>
        <w:rPr>
          <w:color w:val="4A4A4A"/>
          <w:sz w:val="21"/>
          <w:szCs w:val="21"/>
          <w:lang w:val="es-MX"/>
        </w:rPr>
      </w:pPr>
      <w:r w:rsidRPr="00142D30">
        <w:rPr>
          <w:color w:val="4A4A4A"/>
          <w:sz w:val="21"/>
          <w:szCs w:val="21"/>
          <w:lang w:val="es-MX"/>
        </w:rPr>
        <w:t xml:space="preserve">Para mejorar la precisión del indicador es importante definir con precisión el denominador (la población en </w:t>
      </w:r>
      <w:r w:rsidR="006C55E4">
        <w:rPr>
          <w:color w:val="4A4A4A"/>
          <w:sz w:val="21"/>
          <w:szCs w:val="21"/>
          <w:lang w:val="es-MX"/>
        </w:rPr>
        <w:t>“</w:t>
      </w:r>
      <w:r w:rsidRPr="00142D30">
        <w:rPr>
          <w:color w:val="4A4A4A"/>
          <w:sz w:val="21"/>
          <w:szCs w:val="21"/>
          <w:lang w:val="es-MX"/>
        </w:rPr>
        <w:t>riesgo</w:t>
      </w:r>
      <w:r w:rsidR="006C55E4">
        <w:rPr>
          <w:color w:val="4A4A4A"/>
          <w:sz w:val="21"/>
          <w:szCs w:val="21"/>
          <w:lang w:val="es-MX"/>
        </w:rPr>
        <w:t>”</w:t>
      </w:r>
      <w:r w:rsidRPr="00142D30">
        <w:rPr>
          <w:color w:val="4A4A4A"/>
          <w:sz w:val="21"/>
          <w:szCs w:val="21"/>
          <w:lang w:val="es-MX"/>
        </w:rPr>
        <w:t xml:space="preserve"> de experimentar el evento de interés, es decir, acceder a un mecanismo de resolución de conflictos) identificando la </w:t>
      </w:r>
      <w:r>
        <w:rPr>
          <w:color w:val="4A4A4A"/>
          <w:sz w:val="21"/>
          <w:szCs w:val="21"/>
          <w:lang w:val="es-MX"/>
        </w:rPr>
        <w:t>“</w:t>
      </w:r>
      <w:r w:rsidRPr="00142D30">
        <w:rPr>
          <w:color w:val="4A4A4A"/>
          <w:sz w:val="21"/>
          <w:szCs w:val="21"/>
          <w:lang w:val="es-MX"/>
        </w:rPr>
        <w:t>demanda</w:t>
      </w:r>
      <w:r>
        <w:rPr>
          <w:color w:val="4A4A4A"/>
          <w:sz w:val="21"/>
          <w:szCs w:val="21"/>
          <w:lang w:val="es-MX"/>
        </w:rPr>
        <w:t>”</w:t>
      </w:r>
      <w:r w:rsidRPr="00142D30">
        <w:rPr>
          <w:color w:val="4A4A4A"/>
          <w:sz w:val="21"/>
          <w:szCs w:val="21"/>
          <w:lang w:val="es-MX"/>
        </w:rPr>
        <w:t xml:space="preserve"> de mecanismos de resolución de conflictos. Esta demanda está compuesta por aquellos que utilizan los mecanismos de resolución de conflictos (usuarios) y aquellos que -a pesar de necesitarlos- no tienen </w:t>
      </w:r>
      <w:r w:rsidR="006C55E4">
        <w:rPr>
          <w:color w:val="4A4A4A"/>
          <w:sz w:val="21"/>
          <w:szCs w:val="21"/>
          <w:lang w:val="es-MX"/>
        </w:rPr>
        <w:t>“</w:t>
      </w:r>
      <w:r w:rsidRPr="00142D30">
        <w:rPr>
          <w:color w:val="4A4A4A"/>
          <w:sz w:val="21"/>
          <w:szCs w:val="21"/>
          <w:lang w:val="es-MX"/>
        </w:rPr>
        <w:t>acceso</w:t>
      </w:r>
      <w:r w:rsidR="006C55E4">
        <w:rPr>
          <w:color w:val="4A4A4A"/>
          <w:sz w:val="21"/>
          <w:szCs w:val="21"/>
          <w:lang w:val="es-MX"/>
        </w:rPr>
        <w:t>”</w:t>
      </w:r>
      <w:r w:rsidRPr="00142D30">
        <w:rPr>
          <w:color w:val="4A4A4A"/>
          <w:sz w:val="21"/>
          <w:szCs w:val="21"/>
          <w:lang w:val="es-MX"/>
        </w:rPr>
        <w:t xml:space="preserve"> a dichos mecanismos por diversas razones, como la falta de conocimiento sobre cómo acceder a ellos, la falta de confianza en las instituciones, la falta de asesoramiento/asistencia jurídica, la falta de conocimiento sobre los mecanismos de justicia, la distancia geográfica o los costes financieros, por mencionar algunas. Es importante excluir de la demanda a quienes experimentan conflictos y no acuden a los mecanismos de resolución de conflictos porque no los necesitan (autoexcluidos voluntariamente). Se trata de casos en los que el </w:t>
      </w:r>
      <w:r w:rsidR="00816472">
        <w:rPr>
          <w:color w:val="4A4A4A"/>
          <w:sz w:val="21"/>
          <w:szCs w:val="21"/>
          <w:lang w:val="es-MX"/>
        </w:rPr>
        <w:t>conflicto</w:t>
      </w:r>
      <w:r w:rsidRPr="00142D30">
        <w:rPr>
          <w:color w:val="4A4A4A"/>
          <w:sz w:val="21"/>
          <w:szCs w:val="21"/>
          <w:lang w:val="es-MX"/>
        </w:rPr>
        <w:t xml:space="preserve"> es sencillo o en los que los encuestados resuelven la cuestión con la otra parte mediante una negociación directa.</w:t>
      </w:r>
    </w:p>
    <w:p w14:paraId="143B17A3" w14:textId="77777777" w:rsidR="0005008F" w:rsidRPr="00142D30" w:rsidRDefault="0005008F" w:rsidP="0039287E">
      <w:pPr>
        <w:pStyle w:val="MText"/>
        <w:rPr>
          <w:lang w:val="es-MX"/>
        </w:rPr>
      </w:pPr>
    </w:p>
    <w:p w14:paraId="3A067EEA" w14:textId="3D947512" w:rsidR="0005008F" w:rsidRPr="005618D4" w:rsidRDefault="00576CFA" w:rsidP="0039287E">
      <w:pPr>
        <w:pStyle w:val="MHeader2"/>
        <w:rPr>
          <w:lang w:val="es-MX"/>
        </w:rPr>
      </w:pPr>
      <w:r w:rsidRPr="005618D4">
        <w:rPr>
          <w:lang w:val="es-MX"/>
        </w:rPr>
        <w:t>2.b.</w:t>
      </w:r>
      <w:r w:rsidR="008B0AC7" w:rsidRPr="005618D4">
        <w:rPr>
          <w:lang w:val="es-MX"/>
        </w:rPr>
        <w:t xml:space="preserve"> </w:t>
      </w:r>
      <w:r w:rsidR="005A5AFB" w:rsidRPr="0063163D">
        <w:rPr>
          <w:lang w:val="es-MX"/>
        </w:rPr>
        <w:t xml:space="preserve">Unidad de medida </w:t>
      </w:r>
      <w:r w:rsidRPr="005618D4">
        <w:rPr>
          <w:color w:val="B4B4B4"/>
          <w:sz w:val="20"/>
          <w:lang w:val="es-MX"/>
        </w:rPr>
        <w:t>(UNIT_MEASURE)</w:t>
      </w:r>
    </w:p>
    <w:p w14:paraId="263FA16A" w14:textId="39E2F943" w:rsidR="0005008F" w:rsidRPr="005618D4" w:rsidRDefault="00787BE2" w:rsidP="0039287E">
      <w:pPr>
        <w:pStyle w:val="MText"/>
        <w:rPr>
          <w:lang w:val="es-MX"/>
        </w:rPr>
      </w:pPr>
      <w:r w:rsidRPr="005618D4">
        <w:rPr>
          <w:lang w:val="es-MX"/>
        </w:rPr>
        <w:t>P</w:t>
      </w:r>
      <w:r w:rsidR="005618D4" w:rsidRPr="005618D4">
        <w:rPr>
          <w:lang w:val="es-MX"/>
        </w:rPr>
        <w:t>o</w:t>
      </w:r>
      <w:r w:rsidRPr="005618D4">
        <w:rPr>
          <w:lang w:val="es-MX"/>
        </w:rPr>
        <w:t>rcent</w:t>
      </w:r>
      <w:r w:rsidR="005618D4" w:rsidRPr="005618D4">
        <w:rPr>
          <w:lang w:val="es-MX"/>
        </w:rPr>
        <w:t>aje</w:t>
      </w:r>
      <w:r w:rsidR="00F53748" w:rsidRPr="005618D4">
        <w:rPr>
          <w:color w:val="494949"/>
          <w:lang w:val="es-MX"/>
        </w:rPr>
        <w:t xml:space="preserve"> (%)</w:t>
      </w:r>
    </w:p>
    <w:p w14:paraId="72202124" w14:textId="77777777" w:rsidR="0005008F" w:rsidRPr="005618D4" w:rsidRDefault="0005008F" w:rsidP="0039287E">
      <w:pPr>
        <w:pStyle w:val="MText"/>
        <w:rPr>
          <w:lang w:val="es-MX"/>
        </w:rPr>
      </w:pPr>
    </w:p>
    <w:p w14:paraId="55A466C6" w14:textId="7403AF7C" w:rsidR="0005008F" w:rsidRPr="00904D39" w:rsidRDefault="008B0AC7" w:rsidP="0039287E">
      <w:pPr>
        <w:pStyle w:val="MHeader2"/>
        <w:rPr>
          <w:lang w:val="es-MX"/>
        </w:rPr>
      </w:pPr>
      <w:r w:rsidRPr="00904D39">
        <w:rPr>
          <w:lang w:val="es-MX"/>
        </w:rPr>
        <w:t xml:space="preserve">2.c. </w:t>
      </w:r>
      <w:r w:rsidR="005A5AFB" w:rsidRPr="00904D39">
        <w:rPr>
          <w:lang w:val="es-MX"/>
        </w:rPr>
        <w:t>Clasificaciones</w:t>
      </w:r>
      <w:r w:rsidRPr="00904D39">
        <w:rPr>
          <w:lang w:val="es-MX"/>
        </w:rPr>
        <w:t xml:space="preserve"> </w:t>
      </w:r>
      <w:r w:rsidRPr="00904D39">
        <w:rPr>
          <w:color w:val="B4B4B4"/>
          <w:sz w:val="20"/>
          <w:lang w:val="es-MX"/>
        </w:rPr>
        <w:t>(CLASS_SYSTEM)</w:t>
      </w:r>
    </w:p>
    <w:p w14:paraId="1F07AE25" w14:textId="2ADD7F41" w:rsidR="0005008F" w:rsidRPr="00904D39" w:rsidRDefault="00763E97" w:rsidP="0039287E">
      <w:pPr>
        <w:pStyle w:val="MText"/>
        <w:rPr>
          <w:lang w:val="es-MX"/>
        </w:rPr>
      </w:pPr>
      <w:r w:rsidRPr="00904D39">
        <w:rPr>
          <w:lang w:val="es-MX"/>
        </w:rPr>
        <w:t>N</w:t>
      </w:r>
      <w:r w:rsidR="005618D4" w:rsidRPr="00904D39">
        <w:rPr>
          <w:lang w:val="es-MX"/>
        </w:rPr>
        <w:t>o aplica.</w:t>
      </w:r>
    </w:p>
    <w:p w14:paraId="04B090B8" w14:textId="77777777" w:rsidR="0005008F" w:rsidRPr="00904D39" w:rsidRDefault="0005008F" w:rsidP="0039287E">
      <w:pPr>
        <w:pStyle w:val="MText"/>
        <w:rPr>
          <w:lang w:val="es-MX"/>
        </w:rPr>
      </w:pPr>
    </w:p>
    <w:p w14:paraId="04AC9D11" w14:textId="7D22E5DF" w:rsidR="0005008F" w:rsidRPr="005A5AFB" w:rsidRDefault="00B31E2C" w:rsidP="0039287E">
      <w:pPr>
        <w:pStyle w:val="MHeader"/>
        <w:rPr>
          <w:lang w:val="es-MX"/>
        </w:rPr>
      </w:pPr>
      <w:r w:rsidRPr="005A5AFB">
        <w:rPr>
          <w:lang w:val="es-MX"/>
        </w:rPr>
        <w:t xml:space="preserve">3. </w:t>
      </w:r>
      <w:r w:rsidR="005A5AFB" w:rsidRPr="0063163D">
        <w:rPr>
          <w:lang w:val="es-MX"/>
        </w:rPr>
        <w:t>Tipo de fuentes de datos y método de recolección</w:t>
      </w:r>
      <w:r w:rsidR="005A5AFB">
        <w:rPr>
          <w:lang w:val="es-MX"/>
        </w:rPr>
        <w:t xml:space="preserve"> </w:t>
      </w:r>
      <w:r w:rsidRPr="005A5AFB">
        <w:rPr>
          <w:color w:val="B4B4B4"/>
          <w:sz w:val="20"/>
          <w:lang w:val="es-MX"/>
        </w:rPr>
        <w:t>(SRC_TYPE_COLL_METHOD)</w:t>
      </w:r>
    </w:p>
    <w:p w14:paraId="6D124DD2" w14:textId="007A533E" w:rsidR="0005008F" w:rsidRPr="005A5AFB" w:rsidRDefault="008B0AC7" w:rsidP="0039287E">
      <w:pPr>
        <w:pStyle w:val="MHeader2"/>
        <w:rPr>
          <w:lang w:val="es-MX"/>
        </w:rPr>
      </w:pPr>
      <w:r w:rsidRPr="005A5AFB">
        <w:rPr>
          <w:lang w:val="es-MX"/>
        </w:rPr>
        <w:t xml:space="preserve">3.a. </w:t>
      </w:r>
      <w:r w:rsidR="005A5AFB" w:rsidRPr="0063163D">
        <w:rPr>
          <w:lang w:val="es-MX"/>
        </w:rPr>
        <w:t xml:space="preserve">Fuentes de datos </w:t>
      </w:r>
      <w:r w:rsidRPr="005A5AFB">
        <w:rPr>
          <w:color w:val="B4B4B4"/>
          <w:sz w:val="20"/>
          <w:lang w:val="es-MX"/>
        </w:rPr>
        <w:t>(SOURCE_TYPE)</w:t>
      </w:r>
    </w:p>
    <w:p w14:paraId="7240576A" w14:textId="79C1EDFB" w:rsidR="0005008F" w:rsidRPr="006C55E4" w:rsidRDefault="006C55E4" w:rsidP="006C55E4">
      <w:pPr>
        <w:pStyle w:val="MText"/>
        <w:rPr>
          <w:lang w:val="es-MX"/>
        </w:rPr>
      </w:pPr>
      <w:r w:rsidRPr="006C55E4">
        <w:rPr>
          <w:lang w:val="es-MX"/>
        </w:rPr>
        <w:t>El indicador se basa en cuatro preguntas que deben incluirse en una encuesta de hogares. Las cuatro preguntas pueden formar parte de un módulo adicional de la encuesta sobre el acceso a la justicia, incorporarse a otras encuestas generales de población en curso (como encuestas sobre victimización delictiva, corrupción, gobernanza, calidad de vida, actitudes públicas o encuestas sobre otros temas) o formar parte de encuestas específicas sobre el acceso a la justicia y las necesidades jurídicas. Los datos deben recopilarse como parte de una muestra probabilística representativa a nivel nacional de la población adulta residente en el país, independientemente de su estatus de residencia legal. El marco de muestreo y el diseño de la muestra deben garantizar que los resultados puedan desglosarse a nivel subnacional. El tamaño de la muestra debe ser suficientemente grande para captar los eventos relevantes y calcular el desglose necesario.</w:t>
      </w:r>
    </w:p>
    <w:p w14:paraId="29666D87" w14:textId="77777777" w:rsidR="0005008F" w:rsidRDefault="0005008F" w:rsidP="0039287E">
      <w:pPr>
        <w:pStyle w:val="MText"/>
        <w:rPr>
          <w:lang w:val="es-MX"/>
        </w:rPr>
      </w:pPr>
    </w:p>
    <w:p w14:paraId="1035B212" w14:textId="77777777" w:rsidR="00816472" w:rsidRDefault="00816472" w:rsidP="0039287E">
      <w:pPr>
        <w:pStyle w:val="MText"/>
        <w:rPr>
          <w:lang w:val="es-MX"/>
        </w:rPr>
      </w:pPr>
    </w:p>
    <w:p w14:paraId="689DD59E" w14:textId="77777777" w:rsidR="00816472" w:rsidRDefault="00816472" w:rsidP="0039287E">
      <w:pPr>
        <w:pStyle w:val="MText"/>
        <w:rPr>
          <w:lang w:val="es-MX"/>
        </w:rPr>
      </w:pPr>
    </w:p>
    <w:p w14:paraId="7D60867A" w14:textId="77777777" w:rsidR="00816472" w:rsidRPr="006C55E4" w:rsidRDefault="00816472" w:rsidP="0039287E">
      <w:pPr>
        <w:pStyle w:val="MText"/>
        <w:rPr>
          <w:lang w:val="es-MX"/>
        </w:rPr>
      </w:pPr>
    </w:p>
    <w:p w14:paraId="59849CCC" w14:textId="79F168BB" w:rsidR="0005008F" w:rsidRPr="005A5AFB" w:rsidRDefault="00576CFA" w:rsidP="0039287E">
      <w:pPr>
        <w:pStyle w:val="MHeader2"/>
        <w:rPr>
          <w:lang w:val="es-MX"/>
        </w:rPr>
      </w:pPr>
      <w:r w:rsidRPr="005A5AFB">
        <w:rPr>
          <w:lang w:val="es-MX"/>
        </w:rPr>
        <w:t>3.b</w:t>
      </w:r>
      <w:r w:rsidR="008B0AC7" w:rsidRPr="005A5AFB">
        <w:rPr>
          <w:lang w:val="es-MX"/>
        </w:rPr>
        <w:t xml:space="preserve">. </w:t>
      </w:r>
      <w:r w:rsidR="005A5AFB" w:rsidRPr="0063163D">
        <w:rPr>
          <w:lang w:val="es-MX"/>
        </w:rPr>
        <w:t xml:space="preserve">Método de recolección de datos </w:t>
      </w:r>
      <w:r w:rsidRPr="005A5AFB">
        <w:rPr>
          <w:color w:val="B4B4B4"/>
          <w:sz w:val="20"/>
          <w:lang w:val="es-MX"/>
        </w:rPr>
        <w:t>(COLL_METHOD)</w:t>
      </w:r>
    </w:p>
    <w:p w14:paraId="043D8893" w14:textId="5DCB2365" w:rsidR="006C55E4" w:rsidRPr="006C55E4" w:rsidRDefault="006C55E4" w:rsidP="006C55E4">
      <w:pPr>
        <w:pStyle w:val="MText"/>
        <w:numPr>
          <w:ilvl w:val="0"/>
          <w:numId w:val="19"/>
        </w:numPr>
        <w:rPr>
          <w:rFonts w:ascii="Calibri" w:eastAsiaTheme="minorEastAsia" w:hAnsi="Calibri" w:cstheme="minorBidi"/>
          <w:lang w:val="es-MX" w:eastAsia="zh-CN"/>
        </w:rPr>
      </w:pPr>
      <w:r w:rsidRPr="006C55E4">
        <w:rPr>
          <w:rFonts w:ascii="Calibri" w:eastAsiaTheme="minorEastAsia" w:hAnsi="Calibri" w:cstheme="minorBidi"/>
          <w:lang w:val="es-MX" w:eastAsia="zh-CN"/>
        </w:rPr>
        <w:t xml:space="preserve">Los datos son recogidos por el Programa de las Naciones Unidas para el Desarrollo (PNUD) mediante un cuestionario normalizado que se envía a los países. Este cuestionario proporciona definiciones específicas de los datos que deben recopilarse y recoge un conjunto de metadatos para identificar posibles discrepancias con respecto a las definiciones estándar y evaluar la calidad general de los datos (por ejemplo, tamaño de la muestra, población objetivo, organismo responsable de la recopilación de datos, etc.). </w:t>
      </w:r>
    </w:p>
    <w:p w14:paraId="47AD1D7C" w14:textId="576DAA0A" w:rsidR="006C55E4" w:rsidRPr="006C55E4" w:rsidRDefault="006C55E4" w:rsidP="006C55E4">
      <w:pPr>
        <w:pStyle w:val="MText"/>
        <w:numPr>
          <w:ilvl w:val="0"/>
          <w:numId w:val="19"/>
        </w:numPr>
        <w:rPr>
          <w:rFonts w:ascii="Calibri" w:eastAsiaTheme="minorEastAsia" w:hAnsi="Calibri" w:cstheme="minorBidi"/>
          <w:lang w:val="es-MX" w:eastAsia="zh-CN"/>
        </w:rPr>
      </w:pPr>
      <w:r w:rsidRPr="006C55E4">
        <w:rPr>
          <w:rFonts w:ascii="Calibri" w:eastAsiaTheme="minorEastAsia" w:hAnsi="Calibri" w:cstheme="minorBidi"/>
          <w:lang w:val="es-MX" w:eastAsia="zh-CN"/>
        </w:rPr>
        <w:t>Se recogen datos de varios años para evaluar la coherencia de los datos a lo largo del tiempo.</w:t>
      </w:r>
    </w:p>
    <w:p w14:paraId="36EBC2C9" w14:textId="05FED667" w:rsidR="0005008F" w:rsidRPr="00816472" w:rsidRDefault="006C55E4" w:rsidP="006C55E4">
      <w:pPr>
        <w:pStyle w:val="MText"/>
        <w:numPr>
          <w:ilvl w:val="0"/>
          <w:numId w:val="19"/>
        </w:numPr>
        <w:rPr>
          <w:lang w:val="es-MX"/>
        </w:rPr>
      </w:pPr>
      <w:r w:rsidRPr="006C55E4">
        <w:rPr>
          <w:rFonts w:ascii="Calibri" w:eastAsiaTheme="minorEastAsia" w:hAnsi="Calibri" w:cstheme="minorBidi"/>
          <w:lang w:val="es-MX" w:eastAsia="zh-CN"/>
        </w:rPr>
        <w:t>Los países pueden utilizar los datos recogidos para calcular los indicadores basándose en el módulo propuesto o utilizando otras fuentes de datos (por ejemplo, la Iniciativa de la Encuesta ODS 16, encuestas sobre victimización delictiva, entre otras).</w:t>
      </w:r>
    </w:p>
    <w:p w14:paraId="47F683A6" w14:textId="77777777" w:rsidR="00816472" w:rsidRPr="006C55E4" w:rsidRDefault="00816472" w:rsidP="00816472">
      <w:pPr>
        <w:pStyle w:val="MText"/>
        <w:ind w:left="720"/>
        <w:rPr>
          <w:lang w:val="es-MX"/>
        </w:rPr>
      </w:pPr>
    </w:p>
    <w:p w14:paraId="0D9C6215" w14:textId="5277027A" w:rsidR="0005008F" w:rsidRPr="005A5AFB" w:rsidRDefault="00E46D96" w:rsidP="0039287E">
      <w:pPr>
        <w:pStyle w:val="MHeader2"/>
        <w:rPr>
          <w:lang w:val="es-MX"/>
        </w:rPr>
      </w:pPr>
      <w:r w:rsidRPr="005A5AFB">
        <w:rPr>
          <w:lang w:val="es-MX"/>
        </w:rPr>
        <w:t xml:space="preserve">3.c. </w:t>
      </w:r>
      <w:r w:rsidR="005A5AFB" w:rsidRPr="0063163D">
        <w:rPr>
          <w:lang w:val="es-MX"/>
        </w:rPr>
        <w:t xml:space="preserve">Calendario de recolección de datos </w:t>
      </w:r>
      <w:r w:rsidRPr="005A5AFB">
        <w:rPr>
          <w:color w:val="B4B4B4"/>
          <w:sz w:val="20"/>
          <w:lang w:val="es-MX"/>
        </w:rPr>
        <w:t>(FREQ_COLL)</w:t>
      </w:r>
    </w:p>
    <w:p w14:paraId="415194E1" w14:textId="4A08A517" w:rsidR="00C97816" w:rsidRPr="006C55E4" w:rsidRDefault="006C55E4" w:rsidP="00576CFA">
      <w:pPr>
        <w:pStyle w:val="MText"/>
        <w:rPr>
          <w:lang w:val="es-MX"/>
        </w:rPr>
      </w:pPr>
      <w:r w:rsidRPr="006C55E4">
        <w:rPr>
          <w:lang w:val="es-MX"/>
        </w:rPr>
        <w:t>Se alienta a los países a realizar encuestas sobre el acceso a la justicia a través del módulo propuesto a intervalos regulares, pero al menos cada cuatro años para reflejar el progreso entre cada una de las revisiones cuatrienales del Objetivo 16 en el Foro Político de Alto Nivel (HLPF).</w:t>
      </w:r>
    </w:p>
    <w:p w14:paraId="71C95F3E" w14:textId="77777777" w:rsidR="00EC2915" w:rsidRPr="006C55E4" w:rsidRDefault="00EC2915" w:rsidP="00576CFA">
      <w:pPr>
        <w:pStyle w:val="MText"/>
        <w:rPr>
          <w:lang w:val="es-MX"/>
        </w:rPr>
      </w:pPr>
    </w:p>
    <w:p w14:paraId="2AF628EA" w14:textId="00E3C4B9" w:rsidR="0005008F" w:rsidRPr="005A5AFB" w:rsidRDefault="00E46D96" w:rsidP="00896648">
      <w:pPr>
        <w:pStyle w:val="MHeader2"/>
        <w:rPr>
          <w:lang w:val="es-MX"/>
        </w:rPr>
      </w:pPr>
      <w:r w:rsidRPr="005A5AFB">
        <w:rPr>
          <w:lang w:val="es-MX"/>
        </w:rPr>
        <w:t xml:space="preserve">3.d. </w:t>
      </w:r>
      <w:r w:rsidR="005A5AFB" w:rsidRPr="0063163D">
        <w:rPr>
          <w:lang w:val="es-MX"/>
        </w:rPr>
        <w:t xml:space="preserve">Calendario de publicación de datos </w:t>
      </w:r>
      <w:r w:rsidRPr="005A5AFB">
        <w:rPr>
          <w:color w:val="B4B4B4"/>
          <w:sz w:val="20"/>
          <w:lang w:val="es-MX"/>
        </w:rPr>
        <w:t>(REL_CAL_POLICY)</w:t>
      </w:r>
    </w:p>
    <w:p w14:paraId="408C53E7" w14:textId="500AD196" w:rsidR="0005008F" w:rsidRPr="006C55E4" w:rsidRDefault="006C55E4" w:rsidP="0039287E">
      <w:pPr>
        <w:pStyle w:val="MText"/>
        <w:rPr>
          <w:lang w:val="es-MX"/>
        </w:rPr>
      </w:pPr>
      <w:r w:rsidRPr="006C55E4">
        <w:rPr>
          <w:lang w:val="es-MX"/>
        </w:rPr>
        <w:t>Los datos sobre los indicadores pertinentes de los ODS se recogen, compilan y envían anualmente a los países para su revisión. A continuación, los datos se comunican anualmente a la División de Estadística de las Naciones Unidas (UNSD) a través de los canales de información habituales.</w:t>
      </w:r>
    </w:p>
    <w:p w14:paraId="627B95EA" w14:textId="77777777" w:rsidR="0005008F" w:rsidRPr="006C55E4" w:rsidRDefault="0005008F" w:rsidP="0039287E">
      <w:pPr>
        <w:pStyle w:val="MText"/>
        <w:rPr>
          <w:lang w:val="es-MX"/>
        </w:rPr>
      </w:pPr>
    </w:p>
    <w:p w14:paraId="3A331969" w14:textId="6E348D20" w:rsidR="0005008F" w:rsidRPr="00904D39" w:rsidRDefault="00E46D96" w:rsidP="0039287E">
      <w:pPr>
        <w:pStyle w:val="MHeader2"/>
        <w:rPr>
          <w:lang w:val="pt-BR"/>
        </w:rPr>
      </w:pPr>
      <w:r w:rsidRPr="00904D39">
        <w:rPr>
          <w:lang w:val="pt-BR"/>
        </w:rPr>
        <w:t xml:space="preserve">3.e. </w:t>
      </w:r>
      <w:proofErr w:type="spellStart"/>
      <w:r w:rsidR="005A5AFB" w:rsidRPr="00904D39">
        <w:rPr>
          <w:lang w:val="pt-BR"/>
        </w:rPr>
        <w:t>Proveedores</w:t>
      </w:r>
      <w:proofErr w:type="spellEnd"/>
      <w:r w:rsidR="005A5AFB" w:rsidRPr="00904D39">
        <w:rPr>
          <w:lang w:val="pt-BR"/>
        </w:rPr>
        <w:t xml:space="preserve"> de </w:t>
      </w:r>
      <w:proofErr w:type="spellStart"/>
      <w:r w:rsidR="005A5AFB" w:rsidRPr="00904D39">
        <w:rPr>
          <w:lang w:val="pt-BR"/>
        </w:rPr>
        <w:t>datos</w:t>
      </w:r>
      <w:proofErr w:type="spellEnd"/>
      <w:r w:rsidR="005A5AFB" w:rsidRPr="00904D39">
        <w:rPr>
          <w:lang w:val="pt-BR"/>
        </w:rPr>
        <w:t xml:space="preserve"> </w:t>
      </w:r>
      <w:r w:rsidRPr="00904D39">
        <w:rPr>
          <w:color w:val="B4B4B4"/>
          <w:sz w:val="20"/>
          <w:lang w:val="pt-BR"/>
        </w:rPr>
        <w:t>(DATA_SOURCE)</w:t>
      </w:r>
    </w:p>
    <w:p w14:paraId="55629E18" w14:textId="30FDB983" w:rsidR="0005008F" w:rsidRPr="006C55E4" w:rsidRDefault="006C55E4" w:rsidP="0039287E">
      <w:pPr>
        <w:pStyle w:val="MText"/>
        <w:rPr>
          <w:lang w:val="es-MX"/>
        </w:rPr>
      </w:pPr>
      <w:r w:rsidRPr="006C55E4">
        <w:rPr>
          <w:lang w:val="es-MX"/>
        </w:rPr>
        <w:t>Los datos se recogen mediante encuestas oficiales representativas a escala nacional. En la mayoría de los países y en la mayoría de los casos, estas encuestas son realizadas por las Oficinas Nacionales de Estadística (ONE). En algunos casos, otras instituciones nacionales u otras entidades pueden realizar encuestas sobre el acceso a la justicia siguiendo las mismas normas metodológicas.</w:t>
      </w:r>
    </w:p>
    <w:p w14:paraId="4357ED76" w14:textId="77777777" w:rsidR="0005008F" w:rsidRPr="006C55E4" w:rsidRDefault="0005008F" w:rsidP="0039287E">
      <w:pPr>
        <w:pStyle w:val="MText"/>
        <w:rPr>
          <w:lang w:val="es-MX"/>
        </w:rPr>
      </w:pPr>
    </w:p>
    <w:p w14:paraId="1F3DB38B" w14:textId="0A77EE64" w:rsidR="0005008F" w:rsidRPr="005A5AFB" w:rsidRDefault="00E46D96" w:rsidP="0039287E">
      <w:pPr>
        <w:pStyle w:val="MHeader2"/>
        <w:rPr>
          <w:lang w:val="es-MX"/>
        </w:rPr>
      </w:pPr>
      <w:r w:rsidRPr="005A5AFB">
        <w:rPr>
          <w:lang w:val="es-MX"/>
        </w:rPr>
        <w:t xml:space="preserve">3.f. </w:t>
      </w:r>
      <w:r w:rsidR="005A5AFB" w:rsidRPr="0063163D">
        <w:rPr>
          <w:lang w:val="es-MX"/>
        </w:rPr>
        <w:t xml:space="preserve">Compiladores de datos </w:t>
      </w:r>
      <w:r w:rsidRPr="005A5AFB">
        <w:rPr>
          <w:color w:val="B4B4B4"/>
          <w:sz w:val="20"/>
          <w:lang w:val="es-MX"/>
        </w:rPr>
        <w:t>(COMPILING_ORG)</w:t>
      </w:r>
    </w:p>
    <w:p w14:paraId="1D1D8FA6" w14:textId="2F2E3576" w:rsidR="0005008F" w:rsidRPr="006C55E4" w:rsidRDefault="006C55E4" w:rsidP="0039287E">
      <w:pPr>
        <w:pStyle w:val="MText"/>
        <w:rPr>
          <w:lang w:val="es-MX"/>
        </w:rPr>
      </w:pPr>
      <w:r w:rsidRPr="006C55E4">
        <w:rPr>
          <w:lang w:val="es-MX"/>
        </w:rPr>
        <w:t>Los datos serán recopilados por los codirectores de este indicador: la Oficina de las Naciones Unidas contra la Droga y el Delito (UNODC), el Programa de las Naciones Unidas para el Desarrollo (PNUD) y la Organización de Cooperación y Desarrollo Económicos (OCDE).</w:t>
      </w:r>
    </w:p>
    <w:p w14:paraId="121C96F8" w14:textId="77777777" w:rsidR="0005008F" w:rsidRPr="006C55E4" w:rsidRDefault="0005008F" w:rsidP="0039287E">
      <w:pPr>
        <w:pStyle w:val="MText"/>
        <w:rPr>
          <w:lang w:val="es-MX"/>
        </w:rPr>
      </w:pPr>
    </w:p>
    <w:p w14:paraId="6DD85C64" w14:textId="49624C10" w:rsidR="0005008F" w:rsidRDefault="00E46D96" w:rsidP="0039287E">
      <w:pPr>
        <w:pStyle w:val="MHeader2"/>
      </w:pPr>
      <w:r w:rsidRPr="00A96255">
        <w:t xml:space="preserve">3.g. </w:t>
      </w:r>
      <w:r w:rsidR="005A5AFB">
        <w:t>Mandato institutional</w:t>
      </w:r>
      <w:r w:rsidR="005A5AFB" w:rsidRPr="00A96255">
        <w:t xml:space="preserve"> </w:t>
      </w:r>
      <w:r>
        <w:rPr>
          <w:color w:val="B4B4B4"/>
          <w:sz w:val="20"/>
        </w:rPr>
        <w:t>(INST_MANDATE)</w:t>
      </w:r>
    </w:p>
    <w:p w14:paraId="205D604A" w14:textId="3A7E9FFE" w:rsidR="0005008F" w:rsidRPr="00E659BE" w:rsidRDefault="00E3569C" w:rsidP="0039287E">
      <w:pPr>
        <w:pStyle w:val="MText"/>
        <w:rPr>
          <w:lang w:val="es-MX"/>
        </w:rPr>
      </w:pPr>
      <w:hyperlink r:id="rId13" w:history="1">
        <w:r w:rsidRPr="00E659BE">
          <w:rPr>
            <w:rStyle w:val="Hyperlink"/>
            <w:b/>
            <w:color w:val="404040" w:themeColor="text1" w:themeTint="BF"/>
            <w:lang w:val="es-MX"/>
          </w:rPr>
          <w:t>UNDP</w:t>
        </w:r>
      </w:hyperlink>
      <w:r w:rsidRPr="00E659BE">
        <w:rPr>
          <w:b/>
          <w:bCs/>
          <w:lang w:val="es-MX"/>
        </w:rPr>
        <w:t xml:space="preserve"> -</w:t>
      </w:r>
      <w:r w:rsidR="00763E97" w:rsidRPr="00E659BE">
        <w:rPr>
          <w:b/>
          <w:lang w:val="es-MX"/>
        </w:rPr>
        <w:t xml:space="preserve"> </w:t>
      </w:r>
      <w:r w:rsidR="00E659BE" w:rsidRPr="00E659BE">
        <w:rPr>
          <w:lang w:val="es-MX"/>
        </w:rPr>
        <w:t>El fortalecimiento del Estado de derecho y la promoción de los derechos humanos son las piedras angulares de la labor del PNUD para lograr la transformación estructural para el desarrollo humano sostenible, aumentar la resiliencia para prevenir y resistir las crisis y erradicar la pobreza extrema. El PNUD apoya a los asociados nacionales para ampliar el acceso a la justicia, especialmente para las mujeres, los jóvenes, las personas con discapacidad, los grupos marginados y las comunidades desplazadas. Esto incluye la promoción de mecanismos de asistencia jurídica y el uso de tribunales móviles para resolver asuntos penales y civiles en zonas de difícil acceso.</w:t>
      </w:r>
    </w:p>
    <w:p w14:paraId="3943C961" w14:textId="77777777" w:rsidR="0005008F" w:rsidRPr="00E659BE" w:rsidRDefault="0005008F" w:rsidP="0039287E">
      <w:pPr>
        <w:pStyle w:val="MText"/>
        <w:rPr>
          <w:lang w:val="es-MX"/>
        </w:rPr>
      </w:pPr>
    </w:p>
    <w:p w14:paraId="7891678D" w14:textId="5EC8A081" w:rsidR="0005008F" w:rsidRPr="00C27DCB" w:rsidRDefault="00763E97" w:rsidP="0039287E">
      <w:pPr>
        <w:pStyle w:val="MText"/>
        <w:rPr>
          <w:lang w:val="es-MX"/>
        </w:rPr>
      </w:pPr>
      <w:r w:rsidRPr="00904D39">
        <w:rPr>
          <w:b/>
          <w:bCs/>
          <w:lang w:val="es-MX"/>
        </w:rPr>
        <w:t>UNODC</w:t>
      </w:r>
      <w:r w:rsidRPr="00904D39">
        <w:rPr>
          <w:lang w:val="es-MX"/>
        </w:rPr>
        <w:t xml:space="preserve"> –</w:t>
      </w:r>
      <w:r w:rsidRPr="00C27DCB">
        <w:rPr>
          <w:lang w:val="es-MX"/>
        </w:rPr>
        <w:t>.</w:t>
      </w:r>
      <w:r w:rsidR="00C27DCB" w:rsidRPr="00C27DCB">
        <w:rPr>
          <w:lang w:val="es-MX"/>
        </w:rPr>
        <w:t xml:space="preserve"> </w:t>
      </w:r>
      <w:r w:rsidR="00C27DCB">
        <w:rPr>
          <w:lang w:val="es-MX"/>
        </w:rPr>
        <w:t>C</w:t>
      </w:r>
      <w:r w:rsidR="00C27DCB" w:rsidRPr="00C27DCB">
        <w:rPr>
          <w:lang w:val="es-MX"/>
        </w:rPr>
        <w:t>omo custodio de las reglas y normas de la ONU en materia de prevención del delito y justicia penal, la UNODC ayuda a los Estados miembros a reformar sus sistemas de justicia penal para que sean eficaces, justos y humanos para toda la población. La UNODC desarrolla herramientas técnicas para ayudar a los Estados Miembros a aplicar las reglas y normas de las Naciones Unidas y apoya a los Estados Miembros mediante la prestación de asistencia técnica en materia de prevención del delito y reforma de la justicia penal. Lo hace a través de una serie de programas mundiales y de la red de oficinas exteriores de la UNODC.</w:t>
      </w:r>
    </w:p>
    <w:p w14:paraId="7D3E79D7" w14:textId="77777777" w:rsidR="0005008F" w:rsidRPr="00C27DCB" w:rsidRDefault="0005008F" w:rsidP="0039287E">
      <w:pPr>
        <w:pStyle w:val="MText"/>
        <w:rPr>
          <w:lang w:val="es-MX"/>
        </w:rPr>
      </w:pPr>
    </w:p>
    <w:p w14:paraId="60D5236A" w14:textId="723ACA33" w:rsidR="0005008F" w:rsidRPr="009A57FB" w:rsidRDefault="00763E97" w:rsidP="0039287E">
      <w:pPr>
        <w:pStyle w:val="MText"/>
        <w:rPr>
          <w:lang w:val="es-MX"/>
        </w:rPr>
      </w:pPr>
      <w:r w:rsidRPr="00816472">
        <w:rPr>
          <w:b/>
          <w:bCs/>
          <w:lang w:val="es-MX"/>
        </w:rPr>
        <w:t>OCD</w:t>
      </w:r>
      <w:r w:rsidR="00B62B81">
        <w:rPr>
          <w:b/>
          <w:bCs/>
          <w:lang w:val="es-MX"/>
        </w:rPr>
        <w:t>E</w:t>
      </w:r>
      <w:r w:rsidRPr="009A57FB">
        <w:rPr>
          <w:lang w:val="es-MX"/>
        </w:rPr>
        <w:t xml:space="preserve"> –</w:t>
      </w:r>
      <w:r w:rsidR="009A57FB" w:rsidRPr="009A57FB">
        <w:rPr>
          <w:lang w:val="es-MX"/>
        </w:rPr>
        <w:t xml:space="preserve">La </w:t>
      </w:r>
      <w:r w:rsidR="00816472">
        <w:rPr>
          <w:lang w:val="es-MX"/>
        </w:rPr>
        <w:t>OCD</w:t>
      </w:r>
      <w:r w:rsidR="00B62B81">
        <w:rPr>
          <w:lang w:val="es-MX"/>
        </w:rPr>
        <w:t>E</w:t>
      </w:r>
      <w:r w:rsidR="009A57FB" w:rsidRPr="009A57FB">
        <w:rPr>
          <w:lang w:val="es-MX"/>
        </w:rPr>
        <w:t xml:space="preserve"> apoya a sus países miembros y socios en la consecución de unos servicios judiciales más receptivos y centrados en las personas, así como en el acceso a la justicia como componentes fundamentales del crecimiento inclusivo, las democracias sólidas y un clima de inversión próspero. La mejora del acceso a la justicia es también un elemento fundamental del trabajo de la OCDE para configurar políticas que fomenten la igualdad, las oportunidades y el bienestar para todos, dado su importante impacto en la capacidad de las personas para participar en la economía, la salud, el empleo y las relaciones. Otros ámbitos de apoyo son la transformación digital y basada en datos de la justicia, la justicia para las empresas, la justicia adaptada a los niños, la justicia para las mujeres y la medición de los resultados de la justicia centrada en las personas.</w:t>
      </w:r>
    </w:p>
    <w:p w14:paraId="6BBC9284" w14:textId="77777777" w:rsidR="0005008F" w:rsidRPr="009A57FB" w:rsidRDefault="0005008F" w:rsidP="0039287E">
      <w:pPr>
        <w:pStyle w:val="MText"/>
        <w:rPr>
          <w:lang w:val="es-MX"/>
        </w:rPr>
      </w:pPr>
    </w:p>
    <w:p w14:paraId="3C4DB934" w14:textId="1F636731" w:rsidR="0005008F" w:rsidRPr="005A5AFB" w:rsidRDefault="00B31E2C" w:rsidP="0039287E">
      <w:pPr>
        <w:pStyle w:val="MHeader"/>
        <w:rPr>
          <w:lang w:val="es-MX"/>
        </w:rPr>
      </w:pPr>
      <w:r w:rsidRPr="005A5AFB">
        <w:rPr>
          <w:lang w:val="es-MX"/>
        </w:rPr>
        <w:t xml:space="preserve">4. </w:t>
      </w:r>
      <w:r w:rsidR="005A5AFB" w:rsidRPr="0063163D">
        <w:rPr>
          <w:lang w:val="es-MX"/>
        </w:rPr>
        <w:t xml:space="preserve">Otras consideraciones metodológicas </w:t>
      </w:r>
      <w:r w:rsidRPr="005A5AFB">
        <w:rPr>
          <w:color w:val="B4B4B4"/>
          <w:sz w:val="20"/>
          <w:lang w:val="es-MX"/>
        </w:rPr>
        <w:t>(OTHER_METHOD)</w:t>
      </w:r>
    </w:p>
    <w:p w14:paraId="0CC6E56C" w14:textId="7508212D" w:rsidR="0005008F" w:rsidRPr="009A57FB" w:rsidRDefault="00576CFA" w:rsidP="0039287E">
      <w:pPr>
        <w:pStyle w:val="MHeader2"/>
        <w:rPr>
          <w:lang w:val="es-MX"/>
        </w:rPr>
      </w:pPr>
      <w:r w:rsidRPr="009A57FB">
        <w:rPr>
          <w:lang w:val="es-MX"/>
        </w:rPr>
        <w:t xml:space="preserve">4.a. </w:t>
      </w:r>
      <w:r w:rsidR="005A5AFB" w:rsidRPr="009B7554">
        <w:rPr>
          <w:lang w:val="es-MX"/>
        </w:rPr>
        <w:t>Justificación</w:t>
      </w:r>
      <w:r w:rsidRPr="009A57FB">
        <w:rPr>
          <w:lang w:val="es-MX"/>
        </w:rPr>
        <w:t xml:space="preserve"> </w:t>
      </w:r>
      <w:r w:rsidRPr="009A57FB">
        <w:rPr>
          <w:color w:val="B4B4B4"/>
          <w:sz w:val="20"/>
          <w:lang w:val="es-MX"/>
        </w:rPr>
        <w:t>(RATIONALE)</w:t>
      </w:r>
    </w:p>
    <w:p w14:paraId="5397CDFA" w14:textId="73700DF3" w:rsidR="009A57FB" w:rsidRPr="009A57FB" w:rsidRDefault="009A57FB" w:rsidP="009A57FB">
      <w:pPr>
        <w:shd w:val="clear" w:color="auto" w:fill="FFFFFF" w:themeFill="background1"/>
        <w:jc w:val="both"/>
        <w:rPr>
          <w:color w:val="4A4A4A"/>
          <w:sz w:val="21"/>
          <w:lang w:val="es-MX"/>
        </w:rPr>
      </w:pPr>
      <w:r w:rsidRPr="009A57FB">
        <w:rPr>
          <w:color w:val="4A4A4A"/>
          <w:sz w:val="21"/>
          <w:lang w:val="es-MX"/>
        </w:rPr>
        <w:t xml:space="preserve">Aunque no existe una definición estándar de acceso a la justicia, se refiere en términos generales a </w:t>
      </w:r>
      <w:r>
        <w:rPr>
          <w:color w:val="4A4A4A"/>
          <w:sz w:val="21"/>
          <w:lang w:val="es-MX"/>
        </w:rPr>
        <w:t>“</w:t>
      </w:r>
      <w:r w:rsidRPr="009A57FB">
        <w:rPr>
          <w:color w:val="4A4A4A"/>
          <w:sz w:val="21"/>
          <w:lang w:val="es-MX"/>
        </w:rPr>
        <w:t>la capacidad de las personas para defender y hacer valer sus derechos y obtener una resolución justa de los problemas justiciables, de conformidad con las normas de derechos humanos; si es necesario, a través de instituciones de justicia imparciales, formales o informales, y con el apoyo jurídico adecuado”.</w:t>
      </w:r>
      <w:r>
        <w:rPr>
          <w:color w:val="4A4A4A"/>
          <w:lang w:val="es-MX"/>
        </w:rPr>
        <w:t xml:space="preserve"> </w:t>
      </w:r>
      <w:r w:rsidR="00325DEB" w:rsidRPr="007A6A3A">
        <w:rPr>
          <w:rFonts w:cstheme="minorHAnsi"/>
          <w:color w:val="4A4A4A"/>
          <w:sz w:val="21"/>
          <w:szCs w:val="21"/>
          <w:vertAlign w:val="superscript"/>
        </w:rPr>
        <w:footnoteReference w:id="4"/>
      </w:r>
      <w:r w:rsidR="00763E97" w:rsidRPr="009A57FB">
        <w:rPr>
          <w:color w:val="4A4A4A"/>
          <w:sz w:val="21"/>
          <w:lang w:val="es-MX"/>
        </w:rPr>
        <w:t xml:space="preserve"> </w:t>
      </w:r>
      <w:r w:rsidRPr="009A57FB">
        <w:rPr>
          <w:color w:val="4A4A4A"/>
          <w:sz w:val="21"/>
          <w:lang w:val="es-MX"/>
        </w:rPr>
        <w:t xml:space="preserve">Para que se reconozcan los derechos de los ciudadanos que necesitan justicia, deben cumplirse una serie de condiciones, como el acceso a información adecuada, a los servicios de justicia y al asesoramiento jurídico, y a las instituciones judiciales que garantizan un trato justo e imparcial. La justificación de este indicador es centrarse en una etapa del proceso y, en particular, en la accesibilidad de las instituciones y los mecanismos judiciales (tanto formales como informales) por parte de quienes han experimentado un problema justiciable. El indicador puede proporcionar información importante sobre la accesibilidad general de las instituciones y los procesos de justicia civil, las barreras y las razones de la exclusión de algunas personas. El desglose por tipo de mecanismo de resolución de </w:t>
      </w:r>
      <w:r w:rsidR="00816472">
        <w:rPr>
          <w:color w:val="4A4A4A"/>
          <w:sz w:val="21"/>
          <w:lang w:val="es-MX"/>
        </w:rPr>
        <w:t>conflicto</w:t>
      </w:r>
      <w:r w:rsidRPr="009A57FB">
        <w:rPr>
          <w:color w:val="4A4A4A"/>
          <w:sz w:val="21"/>
          <w:lang w:val="es-MX"/>
        </w:rPr>
        <w:t>s proporciona información adicional sobre los canales utilizados por los ciudadanos que necesitan hacer valer o defender sus derechos.</w:t>
      </w:r>
    </w:p>
    <w:p w14:paraId="69336145" w14:textId="77777777" w:rsidR="009A57FB" w:rsidRPr="009A57FB" w:rsidRDefault="009A57FB" w:rsidP="009A57FB">
      <w:pPr>
        <w:rPr>
          <w:color w:val="4A4A4A"/>
          <w:sz w:val="21"/>
          <w:lang w:val="es-MX"/>
        </w:rPr>
      </w:pPr>
      <w:r w:rsidRPr="009A57FB">
        <w:rPr>
          <w:color w:val="4A4A4A"/>
          <w:sz w:val="21"/>
          <w:lang w:val="es-MX"/>
        </w:rPr>
        <w:t>Este indicador presenta varias ventajas:</w:t>
      </w:r>
    </w:p>
    <w:p w14:paraId="73278415" w14:textId="48BA921D" w:rsidR="009A57FB" w:rsidRPr="009A57FB" w:rsidRDefault="009A57FB" w:rsidP="009A57FB">
      <w:pPr>
        <w:pStyle w:val="ListParagraph"/>
        <w:numPr>
          <w:ilvl w:val="0"/>
          <w:numId w:val="21"/>
        </w:numPr>
        <w:rPr>
          <w:color w:val="4A4A4A"/>
          <w:sz w:val="21"/>
          <w:lang w:val="es-MX"/>
        </w:rPr>
      </w:pPr>
      <w:r w:rsidRPr="009A57FB">
        <w:rPr>
          <w:color w:val="4A4A4A"/>
          <w:sz w:val="21"/>
          <w:lang w:val="es-MX"/>
        </w:rPr>
        <w:t>Está centrado en las personas, ya que mide la experiencia de los problemas justiciables desde la perspectiva de quienes los enfrentan.</w:t>
      </w:r>
    </w:p>
    <w:p w14:paraId="4E0308AC" w14:textId="7BB45597" w:rsidR="009A57FB" w:rsidRPr="009A57FB" w:rsidRDefault="009A57FB" w:rsidP="009A57FB">
      <w:pPr>
        <w:pStyle w:val="ListParagraph"/>
        <w:numPr>
          <w:ilvl w:val="0"/>
          <w:numId w:val="21"/>
        </w:numPr>
        <w:rPr>
          <w:color w:val="4A4A4A"/>
          <w:sz w:val="21"/>
          <w:lang w:val="es-MX"/>
        </w:rPr>
      </w:pPr>
      <w:r w:rsidRPr="009A57FB">
        <w:rPr>
          <w:color w:val="4A4A4A"/>
          <w:sz w:val="21"/>
          <w:lang w:val="es-MX"/>
        </w:rPr>
        <w:t>Proporciona una evaluación amplia del enfoque que adoptan las personas para abordar los problemas a los que se enfrentan, tanto dentro como fuera de las instituciones o mecanismos formales.</w:t>
      </w:r>
    </w:p>
    <w:p w14:paraId="65708FD0" w14:textId="7F77169A" w:rsidR="009A57FB" w:rsidRPr="009A57FB" w:rsidRDefault="009A57FB" w:rsidP="009A57FB">
      <w:pPr>
        <w:pStyle w:val="ListParagraph"/>
        <w:numPr>
          <w:ilvl w:val="0"/>
          <w:numId w:val="21"/>
        </w:numPr>
        <w:rPr>
          <w:color w:val="4A4A4A"/>
          <w:sz w:val="21"/>
          <w:lang w:val="es-MX"/>
        </w:rPr>
      </w:pPr>
      <w:r w:rsidRPr="009A57FB">
        <w:rPr>
          <w:color w:val="4A4A4A"/>
          <w:sz w:val="21"/>
          <w:lang w:val="es-MX"/>
        </w:rPr>
        <w:t>Se centra en la experiencia de acceso a los mecanismos o instituciones de justicia cuando es necesario.</w:t>
      </w:r>
    </w:p>
    <w:p w14:paraId="2A4A1CE5" w14:textId="025DFAB6" w:rsidR="009A57FB" w:rsidRPr="009A57FB" w:rsidRDefault="009A57FB" w:rsidP="009A57FB">
      <w:pPr>
        <w:pStyle w:val="ListParagraph"/>
        <w:numPr>
          <w:ilvl w:val="0"/>
          <w:numId w:val="21"/>
        </w:numPr>
        <w:rPr>
          <w:color w:val="4A4A4A"/>
          <w:sz w:val="21"/>
          <w:lang w:val="es-MX"/>
        </w:rPr>
      </w:pPr>
      <w:r w:rsidRPr="009A57FB">
        <w:rPr>
          <w:color w:val="4A4A4A"/>
          <w:sz w:val="21"/>
          <w:lang w:val="es-MX"/>
        </w:rPr>
        <w:t>Es fácil de interpretar.</w:t>
      </w:r>
    </w:p>
    <w:p w14:paraId="78433A1B" w14:textId="76D04EAB" w:rsidR="009A57FB" w:rsidRPr="009A57FB" w:rsidRDefault="009A57FB" w:rsidP="009A57FB">
      <w:pPr>
        <w:pStyle w:val="ListParagraph"/>
        <w:numPr>
          <w:ilvl w:val="0"/>
          <w:numId w:val="21"/>
        </w:numPr>
        <w:rPr>
          <w:color w:val="4A4A4A"/>
          <w:sz w:val="21"/>
          <w:lang w:val="es-MX"/>
        </w:rPr>
      </w:pPr>
      <w:r w:rsidRPr="009A57FB">
        <w:rPr>
          <w:color w:val="4A4A4A"/>
          <w:sz w:val="21"/>
          <w:lang w:val="es-MX"/>
        </w:rPr>
        <w:t>Puede elaborarse a partir de unas pocas preguntas de encuesta, que pueden incorporarse fácilmente a las encuestas nacionales en curso.</w:t>
      </w:r>
    </w:p>
    <w:p w14:paraId="4619117F" w14:textId="5739D37E" w:rsidR="009A57FB" w:rsidRPr="009A57FB" w:rsidRDefault="009A57FB" w:rsidP="009A57FB">
      <w:pPr>
        <w:pStyle w:val="ListParagraph"/>
        <w:numPr>
          <w:ilvl w:val="0"/>
          <w:numId w:val="21"/>
        </w:numPr>
        <w:rPr>
          <w:color w:val="4A4A4A"/>
          <w:sz w:val="21"/>
          <w:lang w:val="es-MX"/>
        </w:rPr>
      </w:pPr>
      <w:r w:rsidRPr="009A57FB">
        <w:rPr>
          <w:color w:val="4A4A4A"/>
          <w:sz w:val="21"/>
          <w:lang w:val="es-MX"/>
        </w:rPr>
        <w:t>Es muy adecuado para supervisar las políticas públicas destinadas a mejorar el funcionamiento de los mecanismos formales o informales de resolución de conflictos (políticas descendentes) y las destinadas a empoderar a la población (políticas ascendentes).</w:t>
      </w:r>
    </w:p>
    <w:p w14:paraId="4AC1205C" w14:textId="75F85C25" w:rsidR="009A57FB" w:rsidRPr="009A57FB" w:rsidRDefault="009A57FB" w:rsidP="009A57FB">
      <w:pPr>
        <w:pStyle w:val="ListParagraph"/>
        <w:numPr>
          <w:ilvl w:val="0"/>
          <w:numId w:val="21"/>
        </w:numPr>
        <w:rPr>
          <w:color w:val="4A4A4A"/>
          <w:sz w:val="21"/>
          <w:lang w:val="es-MX"/>
        </w:rPr>
      </w:pPr>
      <w:r w:rsidRPr="009A57FB">
        <w:rPr>
          <w:color w:val="4A4A4A"/>
          <w:sz w:val="21"/>
          <w:lang w:val="es-MX"/>
        </w:rPr>
        <w:t>Puede desglosarse por diversas variables sociodemográficas (como la edad, el sexo, el origen migratorio, etc.) y geográficas, lo que permite identificarse grupos o zonas vulnerables.</w:t>
      </w:r>
    </w:p>
    <w:p w14:paraId="761F1694" w14:textId="61E0465D" w:rsidR="009A57FB" w:rsidRPr="009A57FB" w:rsidRDefault="009A57FB" w:rsidP="009A57FB">
      <w:pPr>
        <w:pStyle w:val="ListParagraph"/>
        <w:numPr>
          <w:ilvl w:val="0"/>
          <w:numId w:val="21"/>
        </w:numPr>
        <w:rPr>
          <w:color w:val="4A4A4A"/>
          <w:sz w:val="21"/>
          <w:lang w:val="es-MX"/>
        </w:rPr>
      </w:pPr>
      <w:r w:rsidRPr="009A57FB">
        <w:rPr>
          <w:color w:val="4A4A4A"/>
          <w:sz w:val="21"/>
          <w:lang w:val="es-MX"/>
        </w:rPr>
        <w:t>Se basa en directrices metodológicas derivadas de un examen exhaustivo de más de 60 encuestas nacionales realizadas por gobiernos y organizaciones de la sociedad civil en más de 30 jurisdicciones en los últimos 25 años.</w:t>
      </w:r>
    </w:p>
    <w:p w14:paraId="59D057C2" w14:textId="770CBA45" w:rsidR="0005008F" w:rsidRPr="005A5AFB" w:rsidRDefault="00E1050F" w:rsidP="00896648">
      <w:pPr>
        <w:pStyle w:val="MHeader2"/>
        <w:rPr>
          <w:lang w:val="es-MX"/>
        </w:rPr>
      </w:pPr>
      <w:r w:rsidRPr="005A5AFB">
        <w:rPr>
          <w:lang w:val="es-MX"/>
        </w:rPr>
        <w:t xml:space="preserve">4.b. </w:t>
      </w:r>
      <w:r w:rsidR="005A5AFB" w:rsidRPr="0063163D">
        <w:rPr>
          <w:lang w:val="es-MX"/>
        </w:rPr>
        <w:t xml:space="preserve">Comentarios y limitaciones </w:t>
      </w:r>
      <w:r w:rsidRPr="005A5AFB">
        <w:rPr>
          <w:color w:val="B4B4B4"/>
          <w:sz w:val="20"/>
          <w:lang w:val="es-MX"/>
        </w:rPr>
        <w:t>(REC_USE_LIM)</w:t>
      </w:r>
    </w:p>
    <w:p w14:paraId="74ABAC3C" w14:textId="0C1337BF" w:rsidR="0005008F" w:rsidRPr="009A57FB" w:rsidRDefault="009A57FB" w:rsidP="00896648">
      <w:pPr>
        <w:shd w:val="clear" w:color="auto" w:fill="FFFFFF" w:themeFill="background1"/>
        <w:jc w:val="both"/>
        <w:rPr>
          <w:color w:val="4A4A4A"/>
          <w:sz w:val="21"/>
          <w:szCs w:val="21"/>
          <w:lang w:val="es-MX"/>
        </w:rPr>
      </w:pPr>
      <w:r w:rsidRPr="009A57FB">
        <w:rPr>
          <w:color w:val="4A4A4A"/>
          <w:sz w:val="21"/>
          <w:szCs w:val="21"/>
          <w:lang w:val="es-MX"/>
        </w:rPr>
        <w:t>Un reto importante es que el concepto de controversia (problema justiciable) está sujeto a diferentes interpretaciones y la propensión a considerar un desacuerdo o conflicto como un problema justiciable puede variar mucho entre individuos y entre sociedades. Una forma de abordar esta cuestión es centrarse en una serie de posibles controversias que pueden considerarse de naturaleza justiciable en la mayoría de los países, como las enumeradas en la sección anterior</w:t>
      </w:r>
      <w:r w:rsidR="00325DEB" w:rsidRPr="00A13368">
        <w:rPr>
          <w:rStyle w:val="FootnoteReference"/>
          <w:color w:val="4A4A4A"/>
        </w:rPr>
        <w:footnoteReference w:id="5"/>
      </w:r>
      <w:r w:rsidR="00763E97" w:rsidRPr="009A57FB">
        <w:rPr>
          <w:color w:val="4A4A4A"/>
          <w:sz w:val="21"/>
          <w:szCs w:val="21"/>
          <w:lang w:val="es-MX"/>
        </w:rPr>
        <w:t xml:space="preserve">. </w:t>
      </w:r>
      <w:r w:rsidRPr="009A57FB">
        <w:rPr>
          <w:color w:val="4A4A4A"/>
          <w:sz w:val="21"/>
          <w:szCs w:val="21"/>
          <w:lang w:val="es-MX"/>
        </w:rPr>
        <w:t>En las encuestas también se utilizarán descripciones normalizadas de los tipos de controversias más comunes, a fin de maximizar la comparabilidad entre los diferentes sistemas jurídicos y países.</w:t>
      </w:r>
    </w:p>
    <w:p w14:paraId="78FB76A0" w14:textId="7A78EEA8" w:rsidR="0005008F" w:rsidRPr="00F125E7" w:rsidRDefault="00F125E7" w:rsidP="00896648">
      <w:pPr>
        <w:shd w:val="clear" w:color="auto" w:fill="FFFFFF" w:themeFill="background1"/>
        <w:jc w:val="both"/>
        <w:rPr>
          <w:color w:val="4A4A4A"/>
          <w:lang w:val="es-MX"/>
        </w:rPr>
      </w:pPr>
      <w:r w:rsidRPr="00F125E7">
        <w:rPr>
          <w:color w:val="4A4A4A"/>
          <w:sz w:val="21"/>
          <w:lang w:val="es-MX"/>
        </w:rPr>
        <w:t>Para identificar el grupo de personas que demandan un mecanismo de resolución de disputas, es necesario identificar el grupo de personas que se excluyen voluntariamente. Una forma de identificar este grupo es incluir una pregunta adicional sobre los motivos por los que las personas no utilizaron un mecanismo de resolución de disputas. Esta pregunta permitiría diferenciar los casos de exclusión voluntaria e involuntaria y definir el denominador como la población que experimentó un problema menos la que se excluyó voluntariamente.</w:t>
      </w:r>
    </w:p>
    <w:p w14:paraId="6FBEC944" w14:textId="47EF0E18" w:rsidR="0005008F" w:rsidRPr="00F125E7" w:rsidRDefault="00F125E7" w:rsidP="00896648">
      <w:pPr>
        <w:shd w:val="clear" w:color="auto" w:fill="FFFFFF" w:themeFill="background1"/>
        <w:jc w:val="both"/>
        <w:rPr>
          <w:color w:val="4A4A4A"/>
          <w:lang w:val="es-MX"/>
        </w:rPr>
      </w:pPr>
      <w:r w:rsidRPr="00F125E7">
        <w:rPr>
          <w:color w:val="4A4A4A"/>
          <w:sz w:val="21"/>
          <w:lang w:val="es-MX"/>
        </w:rPr>
        <w:t>Otro reto consiste en identificar los posibles mecanismos de resolución de controversias, ya que varían considerablemente en los distintos países del mundo. La formulación de las preguntas de la encuesta debe tener en cuenta estas diferentes posibilidades y asegurarse de incluir todas las instituciones pertinentes generalmente reconocidas en la comunidad. La lista propuesta de mecanismos de resolución de controversias identifica los que son comunes en la mayoría de los países del mundo, pero puede adaptarse al contexto de cada país.</w:t>
      </w:r>
    </w:p>
    <w:p w14:paraId="6EE4B9F2" w14:textId="45817E9D" w:rsidR="0005008F" w:rsidRPr="00F125E7" w:rsidRDefault="00F125E7" w:rsidP="00816472">
      <w:pPr>
        <w:shd w:val="clear" w:color="auto" w:fill="FFFFFF" w:themeFill="background1"/>
        <w:spacing w:after="0"/>
        <w:ind w:left="720" w:hanging="720"/>
        <w:jc w:val="both"/>
        <w:rPr>
          <w:color w:val="4A4A4A"/>
          <w:sz w:val="21"/>
          <w:lang w:val="es-MX"/>
        </w:rPr>
      </w:pPr>
      <w:r w:rsidRPr="00F125E7">
        <w:rPr>
          <w:color w:val="4A4A4A"/>
          <w:sz w:val="21"/>
          <w:lang w:val="es-MX"/>
        </w:rPr>
        <w:t xml:space="preserve">La proporción de la población afectada por los </w:t>
      </w:r>
      <w:r w:rsidR="00345751" w:rsidRPr="00F125E7">
        <w:rPr>
          <w:color w:val="4A4A4A"/>
          <w:sz w:val="21"/>
          <w:lang w:val="es-MX"/>
        </w:rPr>
        <w:t>conflictos</w:t>
      </w:r>
      <w:r w:rsidRPr="00F125E7">
        <w:rPr>
          <w:color w:val="4A4A4A"/>
          <w:sz w:val="21"/>
          <w:lang w:val="es-MX"/>
        </w:rPr>
        <w:t xml:space="preserve"> objeto de investigación puede ser relativamente pequeña, lo que puede influir en la significación estadística de los resultados. Una forma de abordar esta cuestión es ampliar el período de referencia de la pregunta, reconociendo que la capacidad de los encuestados para recordar cuestiones específicas se vuelve cada vez menos fiable cuanto más se remonta en el tiempo. Por estas razones, la presente propuesta sigue la recomendación de la guía metodológica sobre encuestas sobre las necesidades jurídicas y el acceso a la justicia y sugiere un intervalo de referencia de dos años. Con este período de referencia, los datos resultantes serían adecuados para supervisar los cambios recientes en los contextos o las políticas, al tiempo que se basarían en un número suficiente de casos para garantizar la significación estadística de los análisis</w:t>
      </w:r>
      <w:r w:rsidR="00763E97" w:rsidRPr="00F125E7">
        <w:rPr>
          <w:color w:val="4A4A4A"/>
          <w:sz w:val="21"/>
          <w:lang w:val="es-MX"/>
        </w:rPr>
        <w:t>.</w:t>
      </w:r>
      <w:r w:rsidR="00325DEB" w:rsidRPr="00A13368">
        <w:rPr>
          <w:rStyle w:val="FootnoteReference"/>
          <w:color w:val="4A4A4A"/>
        </w:rPr>
        <w:footnoteReference w:id="6"/>
      </w:r>
      <w:r w:rsidR="00763E97" w:rsidRPr="00F125E7">
        <w:rPr>
          <w:color w:val="4A4A4A"/>
          <w:sz w:val="21"/>
          <w:lang w:val="es-MX"/>
        </w:rPr>
        <w:t xml:space="preserve"> </w:t>
      </w:r>
      <w:r>
        <w:rPr>
          <w:color w:val="4A4A4A"/>
          <w:sz w:val="21"/>
          <w:lang w:val="es-MX"/>
        </w:rPr>
        <w:t>E</w:t>
      </w:r>
      <w:r w:rsidRPr="00F125E7">
        <w:rPr>
          <w:color w:val="4A4A4A"/>
          <w:sz w:val="21"/>
          <w:lang w:val="es-MX"/>
        </w:rPr>
        <w:t>s necesario abordar adecuadamente los posibles efectos de telescop</w:t>
      </w:r>
      <w:r w:rsidR="00983CD1">
        <w:rPr>
          <w:color w:val="4A4A4A"/>
          <w:sz w:val="21"/>
          <w:lang w:val="es-MX"/>
        </w:rPr>
        <w:t>io</w:t>
      </w:r>
      <w:r w:rsidRPr="00F125E7">
        <w:rPr>
          <w:color w:val="4A4A4A"/>
          <w:sz w:val="21"/>
          <w:lang w:val="es-MX"/>
        </w:rPr>
        <w:t xml:space="preserve"> (el efecto de la ubicación errónea en el tiempo de los acontecimientos que tuvieron lugar en el pasado) delimitando claramente el intervalo de tiempo de referencia en las preguntas pertinentes.</w:t>
      </w:r>
    </w:p>
    <w:p w14:paraId="57BE596C" w14:textId="77777777" w:rsidR="0005008F" w:rsidRPr="00F125E7" w:rsidRDefault="0005008F" w:rsidP="0039287E">
      <w:pPr>
        <w:pStyle w:val="MText"/>
        <w:rPr>
          <w:lang w:val="es-MX"/>
        </w:rPr>
      </w:pPr>
    </w:p>
    <w:p w14:paraId="3C795C47" w14:textId="714D8930" w:rsidR="0005008F" w:rsidRPr="00904D39" w:rsidRDefault="00E1050F" w:rsidP="0039287E">
      <w:pPr>
        <w:pStyle w:val="MHeader2"/>
        <w:rPr>
          <w:lang w:val="pt-BR"/>
        </w:rPr>
      </w:pPr>
      <w:r w:rsidRPr="00904D39">
        <w:rPr>
          <w:lang w:val="pt-BR"/>
        </w:rPr>
        <w:t xml:space="preserve">4.c. </w:t>
      </w:r>
      <w:r w:rsidR="005A5AFB" w:rsidRPr="00904D39">
        <w:rPr>
          <w:lang w:val="pt-BR"/>
        </w:rPr>
        <w:t xml:space="preserve">Método de cálculo </w:t>
      </w:r>
      <w:r w:rsidRPr="00904D39">
        <w:rPr>
          <w:color w:val="B4B4B4"/>
          <w:sz w:val="20"/>
          <w:lang w:val="pt-BR"/>
        </w:rPr>
        <w:t>(DATA_COMP)</w:t>
      </w:r>
    </w:p>
    <w:p w14:paraId="16D5D3AE" w14:textId="178D8487" w:rsidR="0005008F" w:rsidRPr="00F125E7" w:rsidRDefault="00F125E7" w:rsidP="0039287E">
      <w:pPr>
        <w:shd w:val="clear" w:color="auto" w:fill="FFFFFF"/>
        <w:spacing w:after="0"/>
        <w:rPr>
          <w:color w:val="4A4A4A"/>
          <w:lang w:val="es-MX"/>
        </w:rPr>
      </w:pPr>
      <w:r w:rsidRPr="00F125E7">
        <w:rPr>
          <w:color w:val="4A4A4A"/>
          <w:sz w:val="21"/>
          <w:lang w:val="es-MX"/>
        </w:rPr>
        <w:t>Número de personas que han experimentado un conflicto durante los últimos dos años y han accedido a un mecanismo formal o informal de resolución de conflictos (numerador), dividido por el número de personas que han experimentado un conflicto durante los últimos dos años menos aquellas que se han autoexcluido voluntariamente (denominador). El resultado se multiplicaría por 100.</w:t>
      </w:r>
    </w:p>
    <w:p w14:paraId="2426836B" w14:textId="77777777" w:rsidR="0005008F" w:rsidRPr="00F125E7" w:rsidRDefault="0005008F" w:rsidP="0039287E">
      <w:pPr>
        <w:shd w:val="clear" w:color="auto" w:fill="FFFFFF"/>
        <w:spacing w:after="0"/>
        <w:rPr>
          <w:color w:val="4A4A4A"/>
          <w:sz w:val="21"/>
          <w:lang w:val="es-MX"/>
        </w:rPr>
      </w:pPr>
    </w:p>
    <w:p w14:paraId="315E2F58" w14:textId="23902B40" w:rsidR="00F54B0A" w:rsidRPr="004F5F7E" w:rsidRDefault="00BB3653" w:rsidP="00325DEB">
      <w:pPr>
        <w:shd w:val="clear" w:color="auto" w:fill="FFFFFF"/>
        <w:spacing w:after="0"/>
        <w:rPr>
          <w:rFonts w:eastAsia="Times New Roman"/>
          <w:color w:val="4A4A4A"/>
          <w:sz w:val="20"/>
          <w:szCs w:val="20"/>
          <w:lang w:val="en-US" w:eastAsia="en-GB"/>
        </w:rPr>
      </w:pPr>
      <m:oMathPara>
        <m:oMath>
          <m:r>
            <w:rPr>
              <w:rFonts w:ascii="Cambria Math" w:eastAsia="Times New Roman" w:hAnsi="Cambria Math"/>
              <w:color w:val="4A4A4A"/>
              <w:sz w:val="18"/>
              <w:szCs w:val="18"/>
              <w:lang w:val="en-US" w:eastAsia="en-GB"/>
            </w:rPr>
            <m:t xml:space="preserve">16.3.3= </m:t>
          </m:r>
          <m:f>
            <m:fPr>
              <m:ctrlPr>
                <w:rPr>
                  <w:rFonts w:ascii="Cambria Math" w:eastAsia="Times New Roman" w:hAnsi="Cambria Math"/>
                  <w:i/>
                  <w:color w:val="4A4A4A"/>
                  <w:sz w:val="18"/>
                  <w:szCs w:val="18"/>
                  <w:lang w:val="en-US" w:eastAsia="en-GB"/>
                </w:rPr>
              </m:ctrlPr>
            </m:fPr>
            <m:num>
              <m:r>
                <w:rPr>
                  <w:rFonts w:ascii="Cambria Math" w:eastAsia="Times New Roman" w:hAnsi="Cambria Math"/>
                  <w:color w:val="4A4A4A"/>
                  <w:sz w:val="18"/>
                  <w:szCs w:val="18"/>
                  <w:lang w:val="en-US" w:eastAsia="en-GB"/>
                </w:rPr>
                <m:t xml:space="preserve">Número de personas que han accedido a un mecanismo de resolución de conflictos formal o informal </m:t>
              </m:r>
            </m:num>
            <m:den>
              <m:r>
                <w:rPr>
                  <w:rFonts w:ascii="Cambria Math" w:eastAsia="Times New Roman" w:hAnsi="Cambria Math"/>
                  <w:color w:val="4A4A4A"/>
                  <w:sz w:val="18"/>
                  <w:szCs w:val="18"/>
                  <w:lang w:val="en-US" w:eastAsia="en-GB"/>
                </w:rPr>
                <m:t>Número de personas que han experimentado una disputa en los últimos dos años</m:t>
              </m:r>
              <m:r>
                <w:rPr>
                  <w:rFonts w:ascii="Cambria Math" w:eastAsia="Times New Roman" w:hAnsi="Cambria Math"/>
                  <w:color w:val="4A4A4A"/>
                  <w:sz w:val="18"/>
                  <w:szCs w:val="18"/>
                  <w:lang w:val="en-US" w:eastAsia="en-GB"/>
                </w:rPr>
                <m:t xml:space="preserve"> </m:t>
              </m:r>
              <m:r>
                <w:rPr>
                  <w:rFonts w:ascii="Cambria Math" w:eastAsia="Times New Roman" w:hAnsi="Cambria Math"/>
                  <w:color w:val="4A4A4A"/>
                  <w:sz w:val="18"/>
                  <w:szCs w:val="18"/>
                  <w:lang w:val="en-US" w:eastAsia="en-GB"/>
                </w:rPr>
                <m:t>y</m:t>
              </m:r>
              <m:r>
                <w:rPr>
                  <w:rFonts w:ascii="Cambria Math" w:eastAsia="Times New Roman" w:hAnsi="Cambria Math"/>
                  <w:color w:val="4A4A4A"/>
                  <w:sz w:val="18"/>
                  <w:szCs w:val="18"/>
                  <w:lang w:val="en-US" w:eastAsia="en-GB"/>
                </w:rPr>
                <m:t xml:space="preserve"> no</m:t>
              </m:r>
              <m:r>
                <w:rPr>
                  <w:rFonts w:ascii="Cambria Math" w:eastAsia="Times New Roman" w:hAnsi="Cambria Math"/>
                  <w:color w:val="4A4A4A"/>
                  <w:sz w:val="18"/>
                  <w:szCs w:val="18"/>
                  <w:lang w:val="en-US" w:eastAsia="en-GB"/>
                </w:rPr>
                <m:t xml:space="preserve"> se excluyeron voluntariamente</m:t>
              </m:r>
            </m:den>
          </m:f>
          <m:r>
            <w:rPr>
              <w:rFonts w:ascii="Cambria Math" w:eastAsia="Times New Roman" w:hAnsi="Cambria Math"/>
              <w:color w:val="4A4A4A"/>
              <w:sz w:val="18"/>
              <w:szCs w:val="18"/>
              <w:lang w:val="en-US" w:eastAsia="en-GB"/>
            </w:rPr>
            <m:t>X100</m:t>
          </m:r>
        </m:oMath>
      </m:oMathPara>
    </w:p>
    <w:p w14:paraId="5239A1D9" w14:textId="77777777" w:rsidR="0005008F" w:rsidRPr="0039287E" w:rsidRDefault="0005008F" w:rsidP="0039287E">
      <w:pPr>
        <w:shd w:val="clear" w:color="auto" w:fill="FFFFFF"/>
        <w:spacing w:after="0"/>
        <w:rPr>
          <w:color w:val="4A4A4A"/>
          <w:sz w:val="21"/>
          <w:lang w:val="en-US"/>
        </w:rPr>
      </w:pPr>
    </w:p>
    <w:p w14:paraId="53F3E8EC" w14:textId="77777777" w:rsidR="00F125E7" w:rsidRPr="00F125E7" w:rsidRDefault="00F125E7" w:rsidP="00F125E7">
      <w:pPr>
        <w:jc w:val="both"/>
        <w:rPr>
          <w:color w:val="4A4A4A"/>
          <w:sz w:val="21"/>
          <w:lang w:val="es-MX"/>
        </w:rPr>
      </w:pPr>
      <w:r w:rsidRPr="00F125E7">
        <w:rPr>
          <w:color w:val="4A4A4A"/>
          <w:sz w:val="21"/>
          <w:lang w:val="es-MX"/>
        </w:rPr>
        <w:t>Se trata de un indicador basado en encuestas que hace hincapié en las experiencias de los ciudadanos más que en las percepciones generales. Tanto el numerador como el denominador se miden mediante encuestas por muestreo de la población general.</w:t>
      </w:r>
    </w:p>
    <w:p w14:paraId="678DB027" w14:textId="4F3B8C76" w:rsidR="00F125E7" w:rsidRPr="00F125E7" w:rsidRDefault="00F125E7" w:rsidP="00F125E7">
      <w:pPr>
        <w:jc w:val="both"/>
        <w:rPr>
          <w:color w:val="4A4A4A"/>
          <w:sz w:val="21"/>
          <w:lang w:val="es-MX"/>
        </w:rPr>
      </w:pPr>
      <w:r w:rsidRPr="00F125E7">
        <w:rPr>
          <w:color w:val="4A4A4A"/>
          <w:sz w:val="21"/>
          <w:lang w:val="es-MX"/>
        </w:rPr>
        <w:t>El cálculo de este indicador requiere la inclusión de un módulo breve de cuatro preguntas en una encuesta representativa de la población. En el cuadro siguiente se ilustra el contenido de las cuatro preguntas necesarias para calcular el indicador.</w:t>
      </w:r>
    </w:p>
    <w:tbl>
      <w:tblPr>
        <w:tblStyle w:val="TableGrid"/>
        <w:tblW w:w="9209" w:type="dxa"/>
        <w:tblLayout w:type="fixed"/>
        <w:tblLook w:val="04A0" w:firstRow="1" w:lastRow="0" w:firstColumn="1" w:lastColumn="0" w:noHBand="0" w:noVBand="1"/>
      </w:tblPr>
      <w:tblGrid>
        <w:gridCol w:w="6232"/>
        <w:gridCol w:w="2977"/>
      </w:tblGrid>
      <w:tr w:rsidR="00642E1A" w:rsidRPr="00642E1A" w14:paraId="37528A19" w14:textId="77777777" w:rsidTr="00A13368">
        <w:tc>
          <w:tcPr>
            <w:tcW w:w="6232" w:type="dxa"/>
            <w:tcBorders>
              <w:bottom w:val="single" w:sz="4" w:space="0" w:color="000000"/>
            </w:tcBorders>
            <w:shd w:val="pct25" w:color="auto" w:fill="auto"/>
          </w:tcPr>
          <w:p w14:paraId="17B868B3" w14:textId="7F4061E6" w:rsidR="0005008F" w:rsidRPr="0039287E" w:rsidRDefault="00F125E7" w:rsidP="0039287E">
            <w:pPr>
              <w:jc w:val="center"/>
              <w:rPr>
                <w:b/>
                <w:sz w:val="21"/>
              </w:rPr>
            </w:pPr>
            <w:proofErr w:type="spellStart"/>
            <w:r>
              <w:rPr>
                <w:b/>
                <w:sz w:val="21"/>
              </w:rPr>
              <w:t>Contenido</w:t>
            </w:r>
            <w:proofErr w:type="spellEnd"/>
            <w:r>
              <w:rPr>
                <w:b/>
                <w:sz w:val="21"/>
              </w:rPr>
              <w:t xml:space="preserve"> de la </w:t>
            </w:r>
            <w:proofErr w:type="spellStart"/>
            <w:r>
              <w:rPr>
                <w:b/>
                <w:sz w:val="21"/>
              </w:rPr>
              <w:t>pregunta</w:t>
            </w:r>
            <w:proofErr w:type="spellEnd"/>
          </w:p>
        </w:tc>
        <w:tc>
          <w:tcPr>
            <w:tcW w:w="2977" w:type="dxa"/>
            <w:tcBorders>
              <w:bottom w:val="single" w:sz="4" w:space="0" w:color="000000"/>
            </w:tcBorders>
            <w:shd w:val="pct25" w:color="auto" w:fill="auto"/>
          </w:tcPr>
          <w:p w14:paraId="18956BBA" w14:textId="7C047F9F" w:rsidR="0005008F" w:rsidRPr="0039287E" w:rsidRDefault="00763E97" w:rsidP="0039287E">
            <w:pPr>
              <w:jc w:val="center"/>
              <w:rPr>
                <w:b/>
                <w:sz w:val="21"/>
              </w:rPr>
            </w:pPr>
            <w:proofErr w:type="spellStart"/>
            <w:r w:rsidRPr="0039287E">
              <w:rPr>
                <w:b/>
                <w:sz w:val="21"/>
              </w:rPr>
              <w:t>Instruc</w:t>
            </w:r>
            <w:r w:rsidR="00F125E7">
              <w:rPr>
                <w:b/>
                <w:sz w:val="21"/>
              </w:rPr>
              <w:t>ción</w:t>
            </w:r>
            <w:proofErr w:type="spellEnd"/>
          </w:p>
        </w:tc>
      </w:tr>
      <w:tr w:rsidR="00642E1A" w:rsidRPr="00904D39" w14:paraId="06776714" w14:textId="77777777" w:rsidTr="00A13368">
        <w:tc>
          <w:tcPr>
            <w:tcW w:w="6232" w:type="dxa"/>
            <w:shd w:val="pct10" w:color="auto" w:fill="auto"/>
          </w:tcPr>
          <w:p w14:paraId="7488BE84" w14:textId="4C397029" w:rsidR="0005008F" w:rsidRPr="00F125E7" w:rsidRDefault="00F125E7" w:rsidP="0039287E">
            <w:pPr>
              <w:pStyle w:val="ListParagraph"/>
              <w:numPr>
                <w:ilvl w:val="0"/>
                <w:numId w:val="14"/>
              </w:numPr>
              <w:jc w:val="both"/>
              <w:rPr>
                <w:sz w:val="21"/>
                <w:lang w:val="es-MX"/>
              </w:rPr>
            </w:pPr>
            <w:r w:rsidRPr="00F125E7">
              <w:rPr>
                <w:sz w:val="21"/>
                <w:lang w:val="es-MX"/>
              </w:rPr>
              <w:t>Experiencia en disputas durante los últimos dos años, por tipo de disputa</w:t>
            </w:r>
          </w:p>
        </w:tc>
        <w:tc>
          <w:tcPr>
            <w:tcW w:w="2977" w:type="dxa"/>
            <w:shd w:val="pct10" w:color="auto" w:fill="auto"/>
          </w:tcPr>
          <w:p w14:paraId="3D01BB33" w14:textId="7777191B" w:rsidR="0005008F" w:rsidRPr="009F2E0D" w:rsidRDefault="009F2E0D" w:rsidP="0039287E">
            <w:pPr>
              <w:jc w:val="both"/>
              <w:rPr>
                <w:sz w:val="21"/>
                <w:lang w:val="es-MX"/>
              </w:rPr>
            </w:pPr>
            <w:r w:rsidRPr="009F2E0D">
              <w:rPr>
                <w:sz w:val="21"/>
                <w:lang w:val="es-MX"/>
              </w:rPr>
              <w:t>Si no se ha producido ninguna disputa, vaya al FINAL; de lo contrario, vaya al punto 2.</w:t>
            </w:r>
          </w:p>
        </w:tc>
      </w:tr>
      <w:tr w:rsidR="00642E1A" w:rsidRPr="00642E1A" w14:paraId="3B637D68" w14:textId="77777777" w:rsidTr="00A13368">
        <w:tc>
          <w:tcPr>
            <w:tcW w:w="6232" w:type="dxa"/>
            <w:shd w:val="pct10" w:color="auto" w:fill="auto"/>
          </w:tcPr>
          <w:p w14:paraId="2DBA0BAF" w14:textId="6B4B95AC" w:rsidR="0005008F" w:rsidRPr="00F125E7" w:rsidRDefault="00F125E7" w:rsidP="0039287E">
            <w:pPr>
              <w:pStyle w:val="ListParagraph"/>
              <w:numPr>
                <w:ilvl w:val="0"/>
                <w:numId w:val="14"/>
              </w:numPr>
              <w:jc w:val="both"/>
              <w:rPr>
                <w:sz w:val="21"/>
                <w:lang w:val="es-MX"/>
              </w:rPr>
            </w:pPr>
            <w:r w:rsidRPr="00F125E7">
              <w:rPr>
                <w:sz w:val="21"/>
                <w:lang w:val="es-MX"/>
              </w:rPr>
              <w:t>Conflicto más reciente experimentado, por tipo de conflicto</w:t>
            </w:r>
          </w:p>
        </w:tc>
        <w:tc>
          <w:tcPr>
            <w:tcW w:w="2977" w:type="dxa"/>
            <w:shd w:val="pct10" w:color="auto" w:fill="auto"/>
          </w:tcPr>
          <w:p w14:paraId="555F12DD" w14:textId="000D2EDD" w:rsidR="0005008F" w:rsidRPr="0039287E" w:rsidRDefault="009F2E0D" w:rsidP="0039287E">
            <w:pPr>
              <w:jc w:val="both"/>
              <w:rPr>
                <w:sz w:val="21"/>
              </w:rPr>
            </w:pPr>
            <w:proofErr w:type="spellStart"/>
            <w:r>
              <w:rPr>
                <w:sz w:val="21"/>
              </w:rPr>
              <w:t>Continúe</w:t>
            </w:r>
            <w:proofErr w:type="spellEnd"/>
            <w:r>
              <w:rPr>
                <w:sz w:val="21"/>
              </w:rPr>
              <w:t xml:space="preserve"> a la 3.</w:t>
            </w:r>
          </w:p>
        </w:tc>
      </w:tr>
      <w:tr w:rsidR="00642E1A" w:rsidRPr="00904D39" w14:paraId="092D54CF" w14:textId="77777777" w:rsidTr="00A13368">
        <w:tc>
          <w:tcPr>
            <w:tcW w:w="6232" w:type="dxa"/>
            <w:shd w:val="pct10" w:color="auto" w:fill="auto"/>
          </w:tcPr>
          <w:p w14:paraId="009348E4" w14:textId="3FE3FC03" w:rsidR="0005008F" w:rsidRPr="00F125E7" w:rsidRDefault="00F125E7" w:rsidP="00896648">
            <w:pPr>
              <w:pStyle w:val="ListParagraph"/>
              <w:numPr>
                <w:ilvl w:val="0"/>
                <w:numId w:val="14"/>
              </w:numPr>
              <w:jc w:val="both"/>
              <w:rPr>
                <w:sz w:val="21"/>
                <w:lang w:val="es-MX"/>
              </w:rPr>
            </w:pPr>
            <w:r w:rsidRPr="00F125E7">
              <w:rPr>
                <w:sz w:val="21"/>
                <w:lang w:val="es-MX"/>
              </w:rPr>
              <w:t>Acceso a mecanismos de resolución de controversias, por tipo de mecanismo</w:t>
            </w:r>
          </w:p>
        </w:tc>
        <w:tc>
          <w:tcPr>
            <w:tcW w:w="2977" w:type="dxa"/>
            <w:shd w:val="pct10" w:color="auto" w:fill="auto"/>
          </w:tcPr>
          <w:p w14:paraId="585D2A51" w14:textId="193B8A55" w:rsidR="0005008F" w:rsidRPr="009F2E0D" w:rsidRDefault="009F2E0D" w:rsidP="00896648">
            <w:pPr>
              <w:jc w:val="both"/>
              <w:rPr>
                <w:sz w:val="21"/>
                <w:lang w:val="es-MX"/>
              </w:rPr>
            </w:pPr>
            <w:r w:rsidRPr="009F2E0D">
              <w:rPr>
                <w:sz w:val="21"/>
                <w:lang w:val="es-MX"/>
              </w:rPr>
              <w:t>Si no se ha accedido a ningún DRM, vaya al punto 4. De lo contrario, vaya al FIN.</w:t>
            </w:r>
          </w:p>
        </w:tc>
      </w:tr>
      <w:tr w:rsidR="00642E1A" w:rsidRPr="00642E1A" w14:paraId="5DDFDF2B" w14:textId="77777777" w:rsidTr="00A13368">
        <w:tc>
          <w:tcPr>
            <w:tcW w:w="6232" w:type="dxa"/>
            <w:shd w:val="pct10" w:color="auto" w:fill="auto"/>
          </w:tcPr>
          <w:p w14:paraId="2B1B503C" w14:textId="6676F192" w:rsidR="0005008F" w:rsidRPr="009F2E0D" w:rsidRDefault="009F2E0D" w:rsidP="0039287E">
            <w:pPr>
              <w:pStyle w:val="ListParagraph"/>
              <w:numPr>
                <w:ilvl w:val="0"/>
                <w:numId w:val="14"/>
              </w:numPr>
              <w:jc w:val="both"/>
              <w:rPr>
                <w:sz w:val="21"/>
                <w:lang w:val="es-MX"/>
              </w:rPr>
            </w:pPr>
            <w:r w:rsidRPr="009F2E0D">
              <w:rPr>
                <w:sz w:val="21"/>
                <w:lang w:val="es-MX"/>
              </w:rPr>
              <w:t>Motivo por el que no se recurrió a ningún mecanismo de resolución de controversias</w:t>
            </w:r>
          </w:p>
        </w:tc>
        <w:tc>
          <w:tcPr>
            <w:tcW w:w="2977" w:type="dxa"/>
            <w:shd w:val="pct10" w:color="auto" w:fill="auto"/>
          </w:tcPr>
          <w:p w14:paraId="51E1C8C4" w14:textId="32CA2884" w:rsidR="0005008F" w:rsidRPr="0039287E" w:rsidRDefault="009F2E0D" w:rsidP="0039287E">
            <w:pPr>
              <w:jc w:val="both"/>
              <w:rPr>
                <w:sz w:val="21"/>
              </w:rPr>
            </w:pPr>
            <w:proofErr w:type="spellStart"/>
            <w:r>
              <w:rPr>
                <w:sz w:val="21"/>
              </w:rPr>
              <w:t>Ir</w:t>
            </w:r>
            <w:proofErr w:type="spellEnd"/>
            <w:r>
              <w:rPr>
                <w:sz w:val="21"/>
              </w:rPr>
              <w:t xml:space="preserve"> al FINAL.</w:t>
            </w:r>
          </w:p>
        </w:tc>
      </w:tr>
    </w:tbl>
    <w:p w14:paraId="708157E6" w14:textId="77777777" w:rsidR="0005008F" w:rsidRPr="0039287E" w:rsidRDefault="0005008F" w:rsidP="0039287E">
      <w:pPr>
        <w:pStyle w:val="MText"/>
      </w:pPr>
    </w:p>
    <w:p w14:paraId="2D16063F" w14:textId="68AD41D5" w:rsidR="0005008F" w:rsidRDefault="00576CFA" w:rsidP="0039287E">
      <w:pPr>
        <w:pStyle w:val="MHeader2"/>
      </w:pPr>
      <w:r w:rsidRPr="00A96255">
        <w:t xml:space="preserve">4.d. </w:t>
      </w:r>
      <w:r w:rsidR="005A5AFB" w:rsidRPr="009B7554">
        <w:rPr>
          <w:lang w:val="es-MX"/>
        </w:rPr>
        <w:t>Validación</w:t>
      </w:r>
      <w:r w:rsidRPr="00A96255">
        <w:t xml:space="preserve"> </w:t>
      </w:r>
      <w:r>
        <w:rPr>
          <w:color w:val="B4B4B4"/>
          <w:sz w:val="20"/>
        </w:rPr>
        <w:t>(DATA_VALIDATION)</w:t>
      </w:r>
    </w:p>
    <w:p w14:paraId="1D6C1A07" w14:textId="5E398338" w:rsidR="009F2E0D" w:rsidRPr="009F2E0D" w:rsidRDefault="009F2E0D" w:rsidP="00896648">
      <w:pPr>
        <w:pStyle w:val="MText"/>
        <w:rPr>
          <w:lang w:val="es-MX"/>
        </w:rPr>
      </w:pPr>
      <w:r w:rsidRPr="009F2E0D">
        <w:rPr>
          <w:lang w:val="es-MX"/>
        </w:rPr>
        <w:t xml:space="preserve">Los datos para el indicador se recopilan mediante encuestas de hogares realizadas por las oficinas nacionales de estadística (ONE) u otras instituciones siguiendo protocolos de encuesta estrictos y cumpliendo con los metadatos. Se anima a los productores de datos a seguir estrictamente las prácticas, los protocolos y los marcos de calidad de los datos en relación con la calidad de los datos. Además de los datos, se pide a los países que informen sobre los metadatos, que sirven como una capa adicional de validación y verificación de los datos al compararlos con los metadatos utilizados y los recomendados para la presentación de informes a nivel mundial. En el caso de los indicadores basados en encuestas, los metadatos se evalúan en relación con la representatividad y la cobertura de la encuesta, así como con la adecuación de la redacción de las preguntas y las opciones de respuesta a las normas internacionales. Antes de su publicación por los organismos custodios, se aplica un «proceso de prepublicación» normalizado, en el que las partes interesadas nacionales pueden verificar y revisar los datos antes de su publicación.  </w:t>
      </w:r>
    </w:p>
    <w:p w14:paraId="0B43B6AB" w14:textId="77777777" w:rsidR="00F719A8" w:rsidRPr="009F2E0D" w:rsidRDefault="00931699" w:rsidP="00576CFA">
      <w:pPr>
        <w:pStyle w:val="MText"/>
        <w:rPr>
          <w:lang w:val="es-MX"/>
        </w:rPr>
      </w:pPr>
      <w:r w:rsidRPr="009F2E0D">
        <w:rPr>
          <w:highlight w:val="yellow"/>
          <w:lang w:val="es-MX"/>
        </w:rPr>
        <w:t xml:space="preserve"> </w:t>
      </w:r>
    </w:p>
    <w:p w14:paraId="584FC729" w14:textId="73A3BDF8" w:rsidR="0005008F" w:rsidRPr="00904D39" w:rsidRDefault="00E1050F" w:rsidP="00896648">
      <w:pPr>
        <w:pStyle w:val="MHeader2"/>
        <w:rPr>
          <w:lang w:val="pt-BR"/>
        </w:rPr>
      </w:pPr>
      <w:r w:rsidRPr="00904D39">
        <w:rPr>
          <w:lang w:val="pt-BR"/>
        </w:rPr>
        <w:t xml:space="preserve">4.e. </w:t>
      </w:r>
      <w:r w:rsidR="005A5AFB" w:rsidRPr="00904D39">
        <w:rPr>
          <w:lang w:val="pt-BR"/>
        </w:rPr>
        <w:t>Ajustes</w:t>
      </w:r>
      <w:r w:rsidRPr="00904D39">
        <w:rPr>
          <w:lang w:val="pt-BR"/>
        </w:rPr>
        <w:t xml:space="preserve"> </w:t>
      </w:r>
      <w:r w:rsidRPr="00904D39">
        <w:rPr>
          <w:color w:val="B4B4B4"/>
          <w:sz w:val="20"/>
          <w:lang w:val="pt-BR"/>
        </w:rPr>
        <w:t>(ADJUSTMENT)</w:t>
      </w:r>
    </w:p>
    <w:p w14:paraId="07985833" w14:textId="7D95F7DD" w:rsidR="0005008F" w:rsidRPr="00904D39" w:rsidRDefault="00763E97" w:rsidP="0039287E">
      <w:pPr>
        <w:pStyle w:val="MText"/>
        <w:rPr>
          <w:lang w:val="pt-BR"/>
        </w:rPr>
      </w:pPr>
      <w:r w:rsidRPr="00904D39">
        <w:rPr>
          <w:lang w:val="pt-BR"/>
        </w:rPr>
        <w:t>No</w:t>
      </w:r>
      <w:r w:rsidR="009F2E0D" w:rsidRPr="00904D39">
        <w:rPr>
          <w:lang w:val="pt-BR"/>
        </w:rPr>
        <w:t xml:space="preserve"> aplica.</w:t>
      </w:r>
    </w:p>
    <w:p w14:paraId="7A7C4A01" w14:textId="77777777" w:rsidR="0005008F" w:rsidRPr="00904D39" w:rsidRDefault="0005008F" w:rsidP="0039287E">
      <w:pPr>
        <w:pStyle w:val="MText"/>
        <w:rPr>
          <w:lang w:val="pt-BR"/>
        </w:rPr>
      </w:pPr>
    </w:p>
    <w:p w14:paraId="0D301262" w14:textId="556115F1" w:rsidR="0005008F" w:rsidRPr="005A5AFB" w:rsidRDefault="00576CFA" w:rsidP="0039287E">
      <w:pPr>
        <w:pStyle w:val="MHeader2"/>
        <w:rPr>
          <w:lang w:val="es-MX"/>
        </w:rPr>
      </w:pPr>
      <w:r w:rsidRPr="005A5AFB">
        <w:rPr>
          <w:lang w:val="es-MX"/>
        </w:rPr>
        <w:t xml:space="preserve">4.f. </w:t>
      </w:r>
      <w:r w:rsidR="005A5AFB" w:rsidRPr="0063163D">
        <w:rPr>
          <w:lang w:val="es-MX"/>
        </w:rPr>
        <w:t xml:space="preserve">Tratamiento de los valores faltantes (i) a </w:t>
      </w:r>
      <w:r w:rsidR="005A5AFB">
        <w:rPr>
          <w:lang w:val="es-MX"/>
        </w:rPr>
        <w:t>nivel país y</w:t>
      </w:r>
      <w:r w:rsidR="005A5AFB" w:rsidRPr="0063163D">
        <w:rPr>
          <w:lang w:val="es-MX"/>
        </w:rPr>
        <w:t xml:space="preserve"> (</w:t>
      </w:r>
      <w:proofErr w:type="spellStart"/>
      <w:r w:rsidR="005A5AFB" w:rsidRPr="0063163D">
        <w:rPr>
          <w:lang w:val="es-MX"/>
        </w:rPr>
        <w:t>ii</w:t>
      </w:r>
      <w:proofErr w:type="spellEnd"/>
      <w:r w:rsidR="005A5AFB" w:rsidRPr="0063163D">
        <w:rPr>
          <w:lang w:val="es-MX"/>
        </w:rPr>
        <w:t>) a</w:t>
      </w:r>
      <w:r w:rsidR="005A5AFB">
        <w:rPr>
          <w:lang w:val="es-MX"/>
        </w:rPr>
        <w:t xml:space="preserve"> nivel regional</w:t>
      </w:r>
      <w:r w:rsidR="005A5AFB" w:rsidRPr="0063163D">
        <w:rPr>
          <w:lang w:val="es-MX"/>
        </w:rPr>
        <w:t xml:space="preserve"> </w:t>
      </w:r>
      <w:r w:rsidRPr="005A5AFB">
        <w:rPr>
          <w:color w:val="B4B4B4"/>
          <w:sz w:val="20"/>
          <w:lang w:val="es-MX"/>
        </w:rPr>
        <w:t>(IMPUTATION)</w:t>
      </w:r>
    </w:p>
    <w:p w14:paraId="083E038F" w14:textId="703EFFE4" w:rsidR="0005008F" w:rsidRPr="00904D39" w:rsidRDefault="00D51E7C" w:rsidP="0039287E">
      <w:pPr>
        <w:pStyle w:val="MText"/>
        <w:rPr>
          <w:lang w:val="es-MX"/>
        </w:rPr>
      </w:pPr>
      <w:r w:rsidRPr="00904D39">
        <w:rPr>
          <w:lang w:val="es-MX"/>
        </w:rPr>
        <w:t>•</w:t>
      </w:r>
      <w:r w:rsidRPr="00904D39">
        <w:rPr>
          <w:lang w:val="es-MX"/>
        </w:rPr>
        <w:tab/>
      </w:r>
      <w:r w:rsidR="00763E97" w:rsidRPr="00904D39">
        <w:rPr>
          <w:b/>
          <w:lang w:val="es-MX"/>
        </w:rPr>
        <w:t>A</w:t>
      </w:r>
      <w:r w:rsidR="009F2E0D" w:rsidRPr="00904D39">
        <w:rPr>
          <w:b/>
          <w:lang w:val="es-MX"/>
        </w:rPr>
        <w:t xml:space="preserve"> nivel nacional</w:t>
      </w:r>
    </w:p>
    <w:p w14:paraId="4E1B4324" w14:textId="55838A39" w:rsidR="0005008F" w:rsidRPr="009F2E0D" w:rsidRDefault="009F2E0D" w:rsidP="0039287E">
      <w:pPr>
        <w:pStyle w:val="MText"/>
        <w:rPr>
          <w:lang w:val="es-MX"/>
        </w:rPr>
      </w:pPr>
      <w:r w:rsidRPr="009F2E0D">
        <w:rPr>
          <w:lang w:val="es-MX"/>
        </w:rPr>
        <w:t>No se imputan los datos nacionales si no se dispone de datos derivados de encuestas realizadas a nivel nacional</w:t>
      </w:r>
    </w:p>
    <w:p w14:paraId="06EB8CC8" w14:textId="77777777" w:rsidR="0005008F" w:rsidRPr="009F2E0D" w:rsidRDefault="0005008F" w:rsidP="0039287E">
      <w:pPr>
        <w:pStyle w:val="MText"/>
        <w:rPr>
          <w:highlight w:val="cyan"/>
          <w:lang w:val="es-MX"/>
        </w:rPr>
      </w:pPr>
    </w:p>
    <w:p w14:paraId="158479D3" w14:textId="20FA4A52" w:rsidR="0005008F" w:rsidRPr="009F2E0D" w:rsidRDefault="00D51E7C" w:rsidP="0039287E">
      <w:pPr>
        <w:pStyle w:val="MText"/>
        <w:rPr>
          <w:lang w:val="es-MX"/>
        </w:rPr>
      </w:pPr>
      <w:r w:rsidRPr="009F2E0D">
        <w:rPr>
          <w:lang w:val="es-MX"/>
        </w:rPr>
        <w:t>•</w:t>
      </w:r>
      <w:r w:rsidRPr="009F2E0D">
        <w:rPr>
          <w:lang w:val="es-MX"/>
        </w:rPr>
        <w:tab/>
      </w:r>
      <w:r w:rsidR="00763E97" w:rsidRPr="009F2E0D">
        <w:rPr>
          <w:b/>
          <w:lang w:val="es-MX"/>
        </w:rPr>
        <w:t>A</w:t>
      </w:r>
      <w:r w:rsidR="009F2E0D" w:rsidRPr="009F2E0D">
        <w:rPr>
          <w:b/>
          <w:lang w:val="es-MX"/>
        </w:rPr>
        <w:t xml:space="preserve"> nivel regional y m</w:t>
      </w:r>
      <w:r w:rsidR="009F2E0D">
        <w:rPr>
          <w:b/>
          <w:lang w:val="es-MX"/>
        </w:rPr>
        <w:t>undial</w:t>
      </w:r>
    </w:p>
    <w:p w14:paraId="16424ABA" w14:textId="2AD4FCC9" w:rsidR="0005008F" w:rsidRPr="009F2E0D" w:rsidRDefault="009F2E0D" w:rsidP="0039287E">
      <w:pPr>
        <w:pStyle w:val="MText"/>
        <w:rPr>
          <w:lang w:val="es-MX"/>
        </w:rPr>
      </w:pPr>
      <w:r w:rsidRPr="009F2E0D">
        <w:rPr>
          <w:lang w:val="es-MX"/>
        </w:rPr>
        <w:t>No se imputan los valores que faltan.</w:t>
      </w:r>
    </w:p>
    <w:p w14:paraId="08398875" w14:textId="77777777" w:rsidR="0005008F" w:rsidRPr="009F2E0D" w:rsidRDefault="0005008F" w:rsidP="0039287E">
      <w:pPr>
        <w:pStyle w:val="MText"/>
        <w:rPr>
          <w:lang w:val="es-MX"/>
        </w:rPr>
      </w:pPr>
    </w:p>
    <w:p w14:paraId="22349D8A" w14:textId="78F416E5" w:rsidR="0005008F" w:rsidRPr="005A5AFB" w:rsidRDefault="00E1050F" w:rsidP="0039287E">
      <w:pPr>
        <w:pStyle w:val="MHeader2"/>
        <w:rPr>
          <w:lang w:val="es-MX"/>
        </w:rPr>
      </w:pPr>
      <w:r w:rsidRPr="005A5AFB">
        <w:rPr>
          <w:lang w:val="es-MX"/>
        </w:rPr>
        <w:t xml:space="preserve">4.g. </w:t>
      </w:r>
      <w:r w:rsidR="005A5AFB" w:rsidRPr="0063163D">
        <w:rPr>
          <w:lang w:val="es-MX"/>
        </w:rPr>
        <w:t xml:space="preserve">Agregados regionales </w:t>
      </w:r>
      <w:r w:rsidRPr="005A5AFB">
        <w:rPr>
          <w:color w:val="B4B4B4"/>
          <w:sz w:val="20"/>
          <w:lang w:val="es-MX"/>
        </w:rPr>
        <w:t>(REG_AGG)</w:t>
      </w:r>
    </w:p>
    <w:p w14:paraId="578C70FA" w14:textId="0DF51E6D" w:rsidR="0005008F" w:rsidRPr="009F2E0D" w:rsidRDefault="009F2E0D" w:rsidP="0039287E">
      <w:pPr>
        <w:pStyle w:val="MText"/>
        <w:rPr>
          <w:lang w:val="es-MX"/>
        </w:rPr>
      </w:pPr>
      <w:r w:rsidRPr="009F2E0D">
        <w:rPr>
          <w:lang w:val="es-MX"/>
        </w:rPr>
        <w:t>Los agregados regionales solo se elaboran cuando los datos disponibles abarcan al menos un determinado porcentaje de los países de la región y la población de estos países representa un determinado porcentaje de la población regional.</w:t>
      </w:r>
    </w:p>
    <w:p w14:paraId="41D7095A" w14:textId="77777777" w:rsidR="0005008F" w:rsidRPr="009F2E0D" w:rsidRDefault="0005008F" w:rsidP="0039287E">
      <w:pPr>
        <w:pStyle w:val="MText"/>
        <w:rPr>
          <w:lang w:val="es-MX"/>
        </w:rPr>
      </w:pPr>
    </w:p>
    <w:p w14:paraId="718E9610" w14:textId="263B1CD6" w:rsidR="0005008F" w:rsidRPr="005A5AFB" w:rsidRDefault="00576CFA" w:rsidP="0039287E">
      <w:pPr>
        <w:pStyle w:val="MHeader2"/>
        <w:rPr>
          <w:lang w:val="es-MX"/>
        </w:rPr>
      </w:pPr>
      <w:r w:rsidRPr="005A5AFB">
        <w:rPr>
          <w:lang w:val="es-MX"/>
        </w:rPr>
        <w:t xml:space="preserve">4.h. </w:t>
      </w:r>
      <w:r w:rsidR="005A5AFB" w:rsidRPr="0063163D">
        <w:rPr>
          <w:lang w:val="es-MX"/>
        </w:rPr>
        <w:t>Métodos y orientación a disposición de los países pa</w:t>
      </w:r>
      <w:r w:rsidR="005A5AFB">
        <w:rPr>
          <w:lang w:val="es-MX"/>
        </w:rPr>
        <w:t>ra la recolección de los datos a nivel nacional</w:t>
      </w:r>
      <w:r w:rsidR="005A5AFB" w:rsidRPr="0063163D">
        <w:rPr>
          <w:lang w:val="es-MX"/>
        </w:rPr>
        <w:t xml:space="preserve"> </w:t>
      </w:r>
      <w:r w:rsidRPr="005A5AFB">
        <w:rPr>
          <w:color w:val="B4B4B4"/>
          <w:sz w:val="20"/>
          <w:lang w:val="es-MX"/>
        </w:rPr>
        <w:t>(DOC_METHOD)</w:t>
      </w:r>
    </w:p>
    <w:p w14:paraId="03D33841" w14:textId="77777777" w:rsidR="009F2E0D" w:rsidRPr="009F2E0D" w:rsidRDefault="009F2E0D" w:rsidP="009F2E0D">
      <w:pPr>
        <w:pStyle w:val="MText"/>
        <w:rPr>
          <w:lang w:val="es-MX"/>
        </w:rPr>
      </w:pPr>
      <w:r w:rsidRPr="009F2E0D">
        <w:rPr>
          <w:lang w:val="es-MX"/>
        </w:rPr>
        <w:t xml:space="preserve">Se dispone de documentación metodológica de encuestas realizadas a nivel nacional (por ejemplo, la encuesta de hogares realizada en Nigeria por la Oficina Nacional de Estadística (NBS) y la UNODC; la encuesta sobre gobernanza, seguridad pública y justicia realizada por la Oficina de Estadística de Sudáfrica en 2019; la encuesta integrada sobre el presupuesto de los hogares de Kenia 2015-2016 realizada por la KNBS; Argentina: Necesidades jurídicas insatisfechas y acceso a la justicia, realizada por la Subsecretaría de Acceso a la Justicia del Ministerio de Justicia y Derechos Humanos; o Colombia: Encuesta sobre seguridad ciudadana y convivencia, realizada por el DANE). </w:t>
      </w:r>
    </w:p>
    <w:p w14:paraId="5921CE55" w14:textId="77777777" w:rsidR="009F2E0D" w:rsidRPr="009F2E0D" w:rsidRDefault="009F2E0D" w:rsidP="009F2E0D">
      <w:pPr>
        <w:pStyle w:val="MText"/>
        <w:rPr>
          <w:lang w:val="es-MX"/>
        </w:rPr>
      </w:pPr>
    </w:p>
    <w:p w14:paraId="61C013BA" w14:textId="00F57FFB" w:rsidR="009F2E0D" w:rsidRPr="009F2E0D" w:rsidRDefault="009F2E0D" w:rsidP="009F2E0D">
      <w:pPr>
        <w:pStyle w:val="MText"/>
        <w:rPr>
          <w:lang w:val="es-MX"/>
        </w:rPr>
      </w:pPr>
      <w:r w:rsidRPr="009F2E0D">
        <w:rPr>
          <w:lang w:val="es-MX"/>
        </w:rPr>
        <w:t>Además, la guía metodológica sobre encuestas de necesidades jurídicas y acceso a la justicia publicada por la OCDE en 2019 ofrece orientación metodológica para elaborar los cuestionarios y realizar este tipo de encuestas. Esta guía recoge la experiencia adquirida en más de 60 encuestas nacionales realizadas por gobiernos y organizaciones de la sociedad civil en más de 30 jurisdicciones en los últimos 25 años.</w:t>
      </w:r>
    </w:p>
    <w:p w14:paraId="7316A6FF" w14:textId="77777777" w:rsidR="005F2392" w:rsidRPr="009F2E0D" w:rsidRDefault="005F2392" w:rsidP="0039287E">
      <w:pPr>
        <w:pStyle w:val="MText"/>
        <w:rPr>
          <w:lang w:val="es-MX"/>
        </w:rPr>
      </w:pPr>
    </w:p>
    <w:p w14:paraId="5ABFC6F9" w14:textId="05CDB7A3" w:rsidR="005F2392" w:rsidRPr="00281679" w:rsidRDefault="00CE77C8" w:rsidP="00CE77C8">
      <w:pPr>
        <w:shd w:val="clear" w:color="auto" w:fill="FFFFFF"/>
        <w:spacing w:after="0"/>
        <w:rPr>
          <w:rFonts w:eastAsia="Times New Roman" w:cs="Times New Roman"/>
          <w:color w:val="4A4A4A"/>
          <w:sz w:val="21"/>
          <w:szCs w:val="21"/>
          <w:lang w:val="es-MX" w:eastAsia="en-GB"/>
        </w:rPr>
      </w:pPr>
      <w:r w:rsidRPr="00CE77C8">
        <w:rPr>
          <w:rFonts w:eastAsia="Times New Roman" w:cs="Times New Roman"/>
          <w:color w:val="4A4A4A"/>
          <w:sz w:val="21"/>
          <w:szCs w:val="21"/>
          <w:lang w:val="es-MX" w:eastAsia="en-GB"/>
        </w:rPr>
        <w:t>En 2022, la Oficina de las Naciones Unidas contra la Droga y el Delito (UNODC), junto con el Programa de las Naciones Unidas para el Desarrollo (PNUD) y la Oficina del Alto Comisionado de las Naciones Unidas para los Derechos Humanos (OHCHR) publicaron el Cuestionario de la Encuesta sobre el ODS 16.</w:t>
      </w:r>
      <w:r w:rsidR="00181577" w:rsidRPr="00281679">
        <w:rPr>
          <w:lang w:val="es-MX"/>
        </w:rPr>
        <w:footnoteReference w:id="7"/>
      </w:r>
      <w:r w:rsidR="005F2392" w:rsidRPr="00CE77C8">
        <w:rPr>
          <w:rFonts w:eastAsia="Times New Roman" w:cs="Times New Roman"/>
          <w:color w:val="4A4A4A"/>
          <w:sz w:val="21"/>
          <w:szCs w:val="21"/>
          <w:lang w:val="es-MX" w:eastAsia="en-GB"/>
        </w:rPr>
        <w:t xml:space="preserve"> </w:t>
      </w:r>
      <w:r w:rsidRPr="00CE77C8">
        <w:rPr>
          <w:rFonts w:eastAsia="Times New Roman" w:cs="Times New Roman"/>
          <w:color w:val="4A4A4A"/>
          <w:sz w:val="21"/>
          <w:szCs w:val="21"/>
          <w:lang w:val="es-MX" w:eastAsia="en-GB"/>
        </w:rPr>
        <w:t xml:space="preserve">Y Manual de Implementación </w:t>
      </w:r>
      <w:r w:rsidR="00181577" w:rsidRPr="00281679">
        <w:rPr>
          <w:lang w:val="es-MX"/>
        </w:rPr>
        <w:footnoteReference w:id="8"/>
      </w:r>
      <w:r w:rsidR="005F2392" w:rsidRPr="00CE77C8">
        <w:rPr>
          <w:rFonts w:eastAsia="Times New Roman" w:cs="Times New Roman"/>
          <w:color w:val="4A4A4A"/>
          <w:sz w:val="21"/>
          <w:szCs w:val="21"/>
          <w:lang w:val="es-MX" w:eastAsia="en-GB"/>
        </w:rPr>
        <w:t xml:space="preserve">, </w:t>
      </w:r>
      <w:r w:rsidRPr="00CE77C8">
        <w:rPr>
          <w:rFonts w:eastAsia="Times New Roman" w:cs="Times New Roman"/>
          <w:color w:val="4A4A4A"/>
          <w:sz w:val="21"/>
          <w:szCs w:val="21"/>
          <w:lang w:val="es-MX" w:eastAsia="en-GB"/>
        </w:rPr>
        <w:t>que contienen el texto de las preguntas de la encuesta normalizado a nivel internacional (en los cinco idiomas oficiales de las Naciones Unidas), así como orientaciones para la aplicación de este indicador.</w:t>
      </w:r>
    </w:p>
    <w:p w14:paraId="4E5E6880" w14:textId="77777777" w:rsidR="0005008F" w:rsidRPr="00CE77C8" w:rsidRDefault="0005008F" w:rsidP="0039287E">
      <w:pPr>
        <w:pStyle w:val="MText"/>
        <w:rPr>
          <w:lang w:val="es-MX"/>
        </w:rPr>
      </w:pPr>
    </w:p>
    <w:p w14:paraId="16DBCADF" w14:textId="12ACD937" w:rsidR="0005008F" w:rsidRPr="005A5AFB" w:rsidRDefault="00576CFA" w:rsidP="0039287E">
      <w:pPr>
        <w:pStyle w:val="MHeader2"/>
        <w:rPr>
          <w:lang w:val="es-MX"/>
        </w:rPr>
      </w:pPr>
      <w:r w:rsidRPr="005A5AFB">
        <w:rPr>
          <w:lang w:val="es-MX"/>
        </w:rPr>
        <w:t xml:space="preserve">4.i. </w:t>
      </w:r>
      <w:r w:rsidR="005A5AFB" w:rsidRPr="0063163D">
        <w:rPr>
          <w:lang w:val="es-MX"/>
        </w:rPr>
        <w:t xml:space="preserve">Gestión de calidad </w:t>
      </w:r>
      <w:r w:rsidRPr="005A5AFB">
        <w:rPr>
          <w:color w:val="B4B4B4"/>
          <w:sz w:val="20"/>
          <w:lang w:val="es-MX"/>
        </w:rPr>
        <w:t>(QUALITY_MGMNT)</w:t>
      </w:r>
    </w:p>
    <w:p w14:paraId="748E03B9" w14:textId="6C600179" w:rsidR="00576CFA" w:rsidRPr="00CE77C8" w:rsidRDefault="00CE77C8" w:rsidP="00576CFA">
      <w:pPr>
        <w:pStyle w:val="MText"/>
        <w:rPr>
          <w:lang w:val="es-MX"/>
        </w:rPr>
      </w:pPr>
      <w:r w:rsidRPr="00CE77C8">
        <w:rPr>
          <w:lang w:val="es-MX"/>
        </w:rPr>
        <w:t>Las tres agencias custodias cuentan con unidades estadísticas con personal dedicado a apoyar la recopilación de datos mediante asistencia técnica, cotejando y verificando los datos recibidos y mejorando continuamente los mecanismos de recopilación de datos, incluidas las directrices.</w:t>
      </w:r>
    </w:p>
    <w:p w14:paraId="0731D4C2" w14:textId="77777777" w:rsidR="00EC2915" w:rsidRPr="00CE77C8" w:rsidRDefault="00EC2915" w:rsidP="00576CFA">
      <w:pPr>
        <w:pStyle w:val="MText"/>
        <w:rPr>
          <w:lang w:val="es-MX"/>
        </w:rPr>
      </w:pPr>
    </w:p>
    <w:p w14:paraId="43102A2A" w14:textId="16155EE7" w:rsidR="0005008F" w:rsidRPr="005A5AFB" w:rsidRDefault="00763E97" w:rsidP="0039287E">
      <w:pPr>
        <w:pStyle w:val="MHeader2"/>
        <w:rPr>
          <w:lang w:val="es-MX"/>
        </w:rPr>
      </w:pPr>
      <w:r w:rsidRPr="005A5AFB">
        <w:rPr>
          <w:lang w:val="es-MX"/>
        </w:rPr>
        <w:t xml:space="preserve">4.j </w:t>
      </w:r>
      <w:r w:rsidR="005A5AFB" w:rsidRPr="0063163D">
        <w:rPr>
          <w:lang w:val="es-MX"/>
        </w:rPr>
        <w:t xml:space="preserve">Aseguramiento de calidad </w:t>
      </w:r>
      <w:r w:rsidRPr="005A5AFB">
        <w:rPr>
          <w:color w:val="B4B4B4"/>
          <w:sz w:val="20"/>
          <w:lang w:val="es-MX"/>
        </w:rPr>
        <w:t>(QUALITY_ASSURE)</w:t>
      </w:r>
    </w:p>
    <w:p w14:paraId="5E2E667F" w14:textId="5E108F16" w:rsidR="0005008F" w:rsidRPr="00CE77C8" w:rsidRDefault="00CE77C8" w:rsidP="0039287E">
      <w:pPr>
        <w:pStyle w:val="MText"/>
        <w:rPr>
          <w:lang w:val="es-MX"/>
        </w:rPr>
      </w:pPr>
      <w:r w:rsidRPr="00CE77C8">
        <w:rPr>
          <w:lang w:val="es-MX"/>
        </w:rPr>
        <w:t>Se recomienda que las oficinas nacionales de estadística (ONS) actúen como principal punto de contacto para recopilar y garantizar la calidad de los datos necesarios para informar sobre el ODS 16.3.3, en estrecha coordinación con los ministerios de justicia u otros organismos pertinentes del país. Se han establecido procedimientos de validación automatizados y sustantivos para que los organismos custodios de los datos evalúen su coherencia y conformidad con las normas cuando los procesan.</w:t>
      </w:r>
    </w:p>
    <w:p w14:paraId="351EFCCA" w14:textId="77777777" w:rsidR="0005008F" w:rsidRPr="00CE77C8" w:rsidRDefault="0005008F" w:rsidP="0039287E">
      <w:pPr>
        <w:pStyle w:val="MText"/>
        <w:rPr>
          <w:lang w:val="es-MX"/>
        </w:rPr>
      </w:pPr>
    </w:p>
    <w:p w14:paraId="00D4A562" w14:textId="01A081F7" w:rsidR="0005008F" w:rsidRPr="005A5AFB" w:rsidRDefault="00763E97" w:rsidP="0039287E">
      <w:pPr>
        <w:pStyle w:val="MHeader2"/>
        <w:rPr>
          <w:lang w:val="es-MX"/>
        </w:rPr>
      </w:pPr>
      <w:r w:rsidRPr="005A5AFB">
        <w:rPr>
          <w:lang w:val="es-MX"/>
        </w:rPr>
        <w:t xml:space="preserve">4.k </w:t>
      </w:r>
      <w:r w:rsidR="005A5AFB" w:rsidRPr="0063163D">
        <w:rPr>
          <w:lang w:val="es-MX"/>
        </w:rPr>
        <w:t xml:space="preserve">Evaluación de calidad </w:t>
      </w:r>
      <w:r w:rsidRPr="005A5AFB">
        <w:rPr>
          <w:color w:val="B4B4B4"/>
          <w:sz w:val="20"/>
          <w:lang w:val="es-MX"/>
        </w:rPr>
        <w:t>(QUALITY_ASSMNT)</w:t>
      </w:r>
    </w:p>
    <w:p w14:paraId="4D1339A7" w14:textId="5D9A85D8" w:rsidR="00933E46" w:rsidRDefault="00CE77C8" w:rsidP="00933E46">
      <w:pPr>
        <w:pStyle w:val="MText"/>
        <w:rPr>
          <w:lang w:val="es-MX"/>
        </w:rPr>
      </w:pPr>
      <w:r w:rsidRPr="00CE77C8">
        <w:rPr>
          <w:lang w:val="es-MX"/>
        </w:rPr>
        <w:t>Véase la sección 4.d Validación.</w:t>
      </w:r>
    </w:p>
    <w:p w14:paraId="7DACF521" w14:textId="77777777" w:rsidR="00CE77C8" w:rsidRPr="00CE77C8" w:rsidRDefault="00CE77C8" w:rsidP="00933E46">
      <w:pPr>
        <w:pStyle w:val="MText"/>
        <w:rPr>
          <w:lang w:val="es-MX"/>
        </w:rPr>
      </w:pPr>
    </w:p>
    <w:p w14:paraId="4AD3B783" w14:textId="3DC60CD3" w:rsidR="0005008F" w:rsidRPr="005A5AFB" w:rsidRDefault="00576CFA" w:rsidP="0039287E">
      <w:pPr>
        <w:pStyle w:val="MHeader"/>
        <w:spacing w:after="100"/>
        <w:rPr>
          <w:lang w:val="es-MX"/>
        </w:rPr>
      </w:pPr>
      <w:r w:rsidRPr="005A5AFB">
        <w:rPr>
          <w:lang w:val="es-MX"/>
        </w:rPr>
        <w:t xml:space="preserve">5. </w:t>
      </w:r>
      <w:r w:rsidR="005A5AFB" w:rsidRPr="0063163D">
        <w:rPr>
          <w:lang w:val="es-MX"/>
        </w:rPr>
        <w:t xml:space="preserve">Disponibilidad y desagregación de datos </w:t>
      </w:r>
      <w:r w:rsidRPr="005A5AFB">
        <w:rPr>
          <w:color w:val="B4B4B4"/>
          <w:sz w:val="20"/>
          <w:lang w:val="es-MX"/>
        </w:rPr>
        <w:t>(COVERAGE)</w:t>
      </w:r>
    </w:p>
    <w:p w14:paraId="3733F468" w14:textId="1C00B5E3" w:rsidR="0005008F" w:rsidRPr="00CE77C8" w:rsidRDefault="00CE77C8" w:rsidP="0039287E">
      <w:pPr>
        <w:pStyle w:val="MText"/>
        <w:rPr>
          <w:b/>
          <w:lang w:val="es-MX"/>
        </w:rPr>
      </w:pPr>
      <w:r w:rsidRPr="00CE77C8">
        <w:rPr>
          <w:b/>
          <w:lang w:val="es-MX"/>
        </w:rPr>
        <w:t>Disponibilidad de datos</w:t>
      </w:r>
      <w:r w:rsidR="00763E97" w:rsidRPr="00CE77C8">
        <w:rPr>
          <w:b/>
          <w:lang w:val="es-MX"/>
        </w:rPr>
        <w:t>:</w:t>
      </w:r>
    </w:p>
    <w:p w14:paraId="3A49697E" w14:textId="77777777" w:rsidR="00CE77C8" w:rsidRDefault="00CE77C8" w:rsidP="00CE77C8">
      <w:pPr>
        <w:shd w:val="clear" w:color="auto" w:fill="FFFFFF"/>
        <w:spacing w:after="0"/>
        <w:rPr>
          <w:color w:val="4A4A4A"/>
          <w:sz w:val="21"/>
          <w:lang w:val="es-MX"/>
        </w:rPr>
      </w:pPr>
      <w:r w:rsidRPr="00CE77C8">
        <w:rPr>
          <w:color w:val="4A4A4A"/>
          <w:sz w:val="21"/>
          <w:lang w:val="es-MX"/>
        </w:rPr>
        <w:t>Cada vez son más los países que están llevando a cabo encuestas con metodologías similares para evaluar las necesidades jurídicas, mejorar los servicios de justicia y fortalecer los vínculos entre los distintos sectores. Sin embargo, la escala y los métodos de administración han variado. En los últimos 25 años se han realizado más de 60 encuestas nacionales sobre necesidades jurídicas en más de 30 países.</w:t>
      </w:r>
    </w:p>
    <w:p w14:paraId="51F8143F" w14:textId="2E98E301" w:rsidR="00CE77C8" w:rsidRPr="00CE77C8" w:rsidRDefault="00CE77C8" w:rsidP="00CE77C8">
      <w:pPr>
        <w:shd w:val="clear" w:color="auto" w:fill="FFFFFF"/>
        <w:spacing w:after="0"/>
        <w:rPr>
          <w:color w:val="4A4A4A"/>
          <w:sz w:val="21"/>
          <w:lang w:val="es-MX"/>
        </w:rPr>
      </w:pPr>
      <w:r w:rsidRPr="00CE77C8">
        <w:rPr>
          <w:color w:val="4A4A4A"/>
          <w:sz w:val="21"/>
          <w:lang w:val="es-MX"/>
        </w:rPr>
        <w:t xml:space="preserve"> </w:t>
      </w:r>
    </w:p>
    <w:p w14:paraId="4BAEE418" w14:textId="6EF25B58" w:rsidR="00CE77C8" w:rsidRPr="00CE77C8" w:rsidRDefault="00CE77C8" w:rsidP="0039287E">
      <w:pPr>
        <w:shd w:val="clear" w:color="auto" w:fill="FFFFFF"/>
        <w:spacing w:after="0"/>
        <w:rPr>
          <w:color w:val="4A4A4A"/>
          <w:sz w:val="21"/>
          <w:lang w:val="es-MX"/>
        </w:rPr>
      </w:pPr>
      <w:r w:rsidRPr="00CE77C8">
        <w:rPr>
          <w:color w:val="4A4A4A"/>
          <w:sz w:val="21"/>
          <w:lang w:val="es-MX"/>
        </w:rPr>
        <w:t xml:space="preserve">Muchas de esas encuestas contienen las preguntas necesarias para calcular este indicador (experiencia en </w:t>
      </w:r>
      <w:r w:rsidR="00816472">
        <w:rPr>
          <w:color w:val="4A4A4A"/>
          <w:sz w:val="21"/>
          <w:lang w:val="es-MX"/>
        </w:rPr>
        <w:t>conflictos</w:t>
      </w:r>
      <w:r w:rsidRPr="00CE77C8">
        <w:rPr>
          <w:color w:val="4A4A4A"/>
          <w:sz w:val="21"/>
          <w:lang w:val="es-MX"/>
        </w:rPr>
        <w:t>, uso de mecanismos de resolución, ya sean formales o informales, y razones para no tomar medidas para resolver el conflicto)</w:t>
      </w:r>
      <w:r>
        <w:rPr>
          <w:color w:val="4A4A4A"/>
          <w:sz w:val="21"/>
          <w:lang w:val="es-MX"/>
        </w:rPr>
        <w:t>.</w:t>
      </w:r>
    </w:p>
    <w:p w14:paraId="6A5E7E94" w14:textId="77777777" w:rsidR="0005008F" w:rsidRPr="00CE77C8" w:rsidRDefault="0005008F" w:rsidP="0039287E">
      <w:pPr>
        <w:pStyle w:val="MText"/>
        <w:rPr>
          <w:highlight w:val="cyan"/>
          <w:lang w:val="es-MX"/>
        </w:rPr>
      </w:pPr>
    </w:p>
    <w:p w14:paraId="462AD399" w14:textId="31F909E4" w:rsidR="0005008F" w:rsidRPr="00CE77C8" w:rsidRDefault="00CE77C8" w:rsidP="0039287E">
      <w:pPr>
        <w:pStyle w:val="MText"/>
        <w:shd w:val="clear" w:color="auto" w:fill="auto"/>
        <w:rPr>
          <w:b/>
          <w:lang w:val="es-MX"/>
        </w:rPr>
      </w:pPr>
      <w:r w:rsidRPr="00CE77C8">
        <w:rPr>
          <w:b/>
          <w:lang w:val="es-MX"/>
        </w:rPr>
        <w:t>Serie de tiempo</w:t>
      </w:r>
      <w:r w:rsidR="00763E97" w:rsidRPr="00CE77C8">
        <w:rPr>
          <w:b/>
          <w:lang w:val="es-MX"/>
        </w:rPr>
        <w:t>:</w:t>
      </w:r>
    </w:p>
    <w:p w14:paraId="74047AA2" w14:textId="30CFBE7E" w:rsidR="0005008F" w:rsidRPr="00CE77C8" w:rsidRDefault="00CE77C8" w:rsidP="00A13368">
      <w:pPr>
        <w:keepNext/>
        <w:keepLines/>
        <w:shd w:val="clear" w:color="auto" w:fill="FFFFFF"/>
        <w:spacing w:after="0"/>
        <w:rPr>
          <w:color w:val="4A4A4A"/>
          <w:lang w:val="es-MX"/>
        </w:rPr>
      </w:pPr>
      <w:r w:rsidRPr="00CE77C8">
        <w:rPr>
          <w:color w:val="4A4A4A"/>
          <w:sz w:val="21"/>
          <w:lang w:val="es-MX"/>
        </w:rPr>
        <w:t>No aplica.</w:t>
      </w:r>
    </w:p>
    <w:p w14:paraId="6AE181D3" w14:textId="77777777" w:rsidR="0005008F" w:rsidRPr="00CE77C8" w:rsidRDefault="0005008F" w:rsidP="0039287E">
      <w:pPr>
        <w:pStyle w:val="MText"/>
        <w:rPr>
          <w:highlight w:val="cyan"/>
          <w:lang w:val="es-MX"/>
        </w:rPr>
      </w:pPr>
    </w:p>
    <w:p w14:paraId="683E67EC" w14:textId="488D9E1B" w:rsidR="0005008F" w:rsidRPr="00CE77C8" w:rsidRDefault="00763E97" w:rsidP="0039287E">
      <w:pPr>
        <w:pStyle w:val="MText"/>
        <w:rPr>
          <w:b/>
          <w:lang w:val="es-MX"/>
        </w:rPr>
      </w:pPr>
      <w:r w:rsidRPr="00CE77C8">
        <w:rPr>
          <w:b/>
          <w:lang w:val="es-MX"/>
        </w:rPr>
        <w:t>D</w:t>
      </w:r>
      <w:r w:rsidR="00CE77C8" w:rsidRPr="00CE77C8">
        <w:rPr>
          <w:b/>
          <w:lang w:val="es-MX"/>
        </w:rPr>
        <w:t>esagregación</w:t>
      </w:r>
      <w:r w:rsidRPr="00CE77C8">
        <w:rPr>
          <w:b/>
          <w:lang w:val="es-MX"/>
        </w:rPr>
        <w:t>:</w:t>
      </w:r>
    </w:p>
    <w:p w14:paraId="26259FC8" w14:textId="77777777" w:rsidR="00CE77C8" w:rsidRDefault="00CE77C8" w:rsidP="00CE77C8">
      <w:pPr>
        <w:pStyle w:val="MText"/>
        <w:rPr>
          <w:lang w:val="es-MX"/>
        </w:rPr>
      </w:pPr>
      <w:r w:rsidRPr="00CE77C8">
        <w:rPr>
          <w:lang w:val="es-MX"/>
        </w:rPr>
        <w:t>La desagregación recomendada para este indicador es la siguiente:</w:t>
      </w:r>
    </w:p>
    <w:p w14:paraId="58B3DE1E" w14:textId="77777777" w:rsidR="00CE77C8" w:rsidRPr="00CE77C8" w:rsidRDefault="00CE77C8" w:rsidP="00CE77C8">
      <w:pPr>
        <w:pStyle w:val="MText"/>
        <w:rPr>
          <w:lang w:val="es-MX"/>
        </w:rPr>
      </w:pPr>
    </w:p>
    <w:p w14:paraId="0C6F8CE2" w14:textId="0802BE21" w:rsidR="00CE77C8" w:rsidRPr="00CE77C8" w:rsidRDefault="00CE77C8" w:rsidP="00CE77C8">
      <w:pPr>
        <w:pStyle w:val="MText"/>
        <w:rPr>
          <w:lang w:val="es-MX"/>
        </w:rPr>
      </w:pPr>
      <w:r w:rsidRPr="00CE77C8">
        <w:rPr>
          <w:lang w:val="es-MX"/>
        </w:rPr>
        <w:t xml:space="preserve">- tipo de mecanismo de resolución de </w:t>
      </w:r>
      <w:r>
        <w:rPr>
          <w:lang w:val="es-MX"/>
        </w:rPr>
        <w:t>conflictos</w:t>
      </w:r>
    </w:p>
    <w:p w14:paraId="2E7C69AF" w14:textId="77777777" w:rsidR="00CE77C8" w:rsidRPr="00CE77C8" w:rsidRDefault="00CE77C8" w:rsidP="00CE77C8">
      <w:pPr>
        <w:pStyle w:val="MText"/>
        <w:rPr>
          <w:lang w:val="es-MX"/>
        </w:rPr>
      </w:pPr>
      <w:r w:rsidRPr="00CE77C8">
        <w:rPr>
          <w:lang w:val="es-MX"/>
        </w:rPr>
        <w:t>- sexo</w:t>
      </w:r>
    </w:p>
    <w:p w14:paraId="75EF1F29" w14:textId="77777777" w:rsidR="00CE77C8" w:rsidRPr="00CE77C8" w:rsidRDefault="00CE77C8" w:rsidP="00CE77C8">
      <w:pPr>
        <w:pStyle w:val="MText"/>
        <w:rPr>
          <w:lang w:val="es-MX"/>
        </w:rPr>
      </w:pPr>
      <w:r w:rsidRPr="00CE77C8">
        <w:rPr>
          <w:lang w:val="es-MX"/>
        </w:rPr>
        <w:t>- discapacidad</w:t>
      </w:r>
    </w:p>
    <w:p w14:paraId="718B57C3" w14:textId="77777777" w:rsidR="00CE77C8" w:rsidRPr="00CE77C8" w:rsidRDefault="00CE77C8" w:rsidP="00CE77C8">
      <w:pPr>
        <w:pStyle w:val="MText"/>
        <w:rPr>
          <w:lang w:val="es-MX"/>
        </w:rPr>
      </w:pPr>
      <w:r w:rsidRPr="00CE77C8">
        <w:rPr>
          <w:lang w:val="es-MX"/>
        </w:rPr>
        <w:t>- origen étnico</w:t>
      </w:r>
    </w:p>
    <w:p w14:paraId="09B2B507" w14:textId="77777777" w:rsidR="00CE77C8" w:rsidRPr="00CE77C8" w:rsidRDefault="00CE77C8" w:rsidP="00CE77C8">
      <w:pPr>
        <w:pStyle w:val="MText"/>
        <w:rPr>
          <w:lang w:val="es-MX"/>
        </w:rPr>
      </w:pPr>
      <w:r w:rsidRPr="00CE77C8">
        <w:rPr>
          <w:lang w:val="es-MX"/>
        </w:rPr>
        <w:t>- origen migratorio</w:t>
      </w:r>
    </w:p>
    <w:p w14:paraId="27D77149" w14:textId="77777777" w:rsidR="00CE77C8" w:rsidRDefault="00CE77C8" w:rsidP="00CE77C8">
      <w:pPr>
        <w:pStyle w:val="MText"/>
        <w:rPr>
          <w:lang w:val="es-MX"/>
        </w:rPr>
      </w:pPr>
      <w:r w:rsidRPr="00CE77C8">
        <w:rPr>
          <w:lang w:val="es-MX"/>
        </w:rPr>
        <w:t>- ciudadanía</w:t>
      </w:r>
    </w:p>
    <w:p w14:paraId="15213049" w14:textId="77777777" w:rsidR="00CE77C8" w:rsidRPr="00CE77C8" w:rsidRDefault="00CE77C8" w:rsidP="00CE77C8">
      <w:pPr>
        <w:pStyle w:val="MText"/>
        <w:rPr>
          <w:lang w:val="es-MX"/>
        </w:rPr>
      </w:pPr>
    </w:p>
    <w:p w14:paraId="27913612" w14:textId="19DE16EC" w:rsidR="0005008F" w:rsidRPr="00CE77C8" w:rsidRDefault="00CE77C8" w:rsidP="00CE77C8">
      <w:pPr>
        <w:pStyle w:val="MText"/>
        <w:rPr>
          <w:lang w:val="es-MX"/>
        </w:rPr>
      </w:pPr>
      <w:r w:rsidRPr="00CE77C8">
        <w:rPr>
          <w:lang w:val="es-MX"/>
        </w:rPr>
        <w:t xml:space="preserve">La desagregación por tipo de mecanismo de resolución de </w:t>
      </w:r>
      <w:r>
        <w:rPr>
          <w:lang w:val="es-MX"/>
        </w:rPr>
        <w:t>conflicto</w:t>
      </w:r>
      <w:r w:rsidRPr="00CE77C8">
        <w:rPr>
          <w:lang w:val="es-MX"/>
        </w:rPr>
        <w:t>s es de fundamental importancia para evaluar el tipo de instituciones y mecanismos judiciales a disposición de los ciudadanos y, por este motivo, forma parte del propio indicador.</w:t>
      </w:r>
    </w:p>
    <w:p w14:paraId="08D41EC5" w14:textId="59883BA3" w:rsidR="0005008F" w:rsidRPr="005A5AFB" w:rsidRDefault="00B31E2C" w:rsidP="0039287E">
      <w:pPr>
        <w:pStyle w:val="MHeader"/>
        <w:spacing w:after="100"/>
        <w:rPr>
          <w:lang w:val="es-MX"/>
        </w:rPr>
      </w:pPr>
      <w:r w:rsidRPr="005A5AFB">
        <w:rPr>
          <w:lang w:val="es-MX"/>
        </w:rPr>
        <w:t xml:space="preserve">6. </w:t>
      </w:r>
      <w:r w:rsidR="005A5AFB" w:rsidRPr="0063163D">
        <w:rPr>
          <w:lang w:val="es-MX"/>
        </w:rPr>
        <w:t>Comparabilidad / desviación de estándares internacio</w:t>
      </w:r>
      <w:r w:rsidR="005A5AFB">
        <w:rPr>
          <w:lang w:val="es-MX"/>
        </w:rPr>
        <w:t>nales</w:t>
      </w:r>
      <w:r w:rsidR="005A5AFB" w:rsidRPr="0063163D">
        <w:rPr>
          <w:lang w:val="es-MX"/>
        </w:rPr>
        <w:t xml:space="preserve"> </w:t>
      </w:r>
      <w:r w:rsidRPr="005A5AFB">
        <w:rPr>
          <w:color w:val="B4B4B4"/>
          <w:sz w:val="20"/>
          <w:lang w:val="es-MX"/>
        </w:rPr>
        <w:t>(COMPARABILITY)</w:t>
      </w:r>
    </w:p>
    <w:p w14:paraId="4CAD10F5" w14:textId="30291ED4" w:rsidR="0005008F" w:rsidRPr="00CE77C8" w:rsidRDefault="00CE77C8" w:rsidP="0039287E">
      <w:pPr>
        <w:pStyle w:val="MText"/>
        <w:rPr>
          <w:b/>
          <w:lang w:val="es-MX"/>
        </w:rPr>
      </w:pPr>
      <w:r w:rsidRPr="00CE77C8">
        <w:rPr>
          <w:b/>
          <w:lang w:val="es-MX"/>
        </w:rPr>
        <w:t>Fuentes de discrepancias</w:t>
      </w:r>
      <w:r w:rsidR="00763E97" w:rsidRPr="00CE77C8">
        <w:rPr>
          <w:b/>
          <w:lang w:val="es-MX"/>
        </w:rPr>
        <w:t>:</w:t>
      </w:r>
    </w:p>
    <w:p w14:paraId="267052FC" w14:textId="2DF4A3C5" w:rsidR="0005008F" w:rsidRPr="00CE77C8" w:rsidRDefault="00CE77C8" w:rsidP="0039287E">
      <w:pPr>
        <w:pStyle w:val="MText"/>
        <w:rPr>
          <w:lang w:val="es-MX"/>
        </w:rPr>
      </w:pPr>
      <w:r w:rsidRPr="00CE77C8">
        <w:rPr>
          <w:lang w:val="es-MX"/>
        </w:rPr>
        <w:t>Los datos para este indicador se basan en cuatro preguntas estandarizadas de la encuesta. Si se dispone de datos de más de una encuesta para el mismo país, las discrepancias pueden deberse a diferencias en la redacción de las preguntas, la estructura del cuestionario, los métodos y operaciones de la encuesta, el diseño de la muestra y el tamaño de esta. Por regla general, se utilizan los datos de las encuestas nacionales que cumplen las normas recomendadas, cuando están disponibles.</w:t>
      </w:r>
    </w:p>
    <w:p w14:paraId="3E2C4811" w14:textId="77777777" w:rsidR="0005008F" w:rsidRPr="00CE77C8" w:rsidRDefault="0005008F" w:rsidP="0039287E">
      <w:pPr>
        <w:pStyle w:val="MText"/>
        <w:rPr>
          <w:lang w:val="es-MX"/>
        </w:rPr>
      </w:pPr>
    </w:p>
    <w:p w14:paraId="43D588B2" w14:textId="1AEDA49C" w:rsidR="0005008F" w:rsidRPr="005A5AFB" w:rsidRDefault="00576CFA" w:rsidP="0039287E">
      <w:pPr>
        <w:pStyle w:val="MHeader"/>
        <w:spacing w:after="100"/>
        <w:rPr>
          <w:lang w:val="es-MX"/>
        </w:rPr>
      </w:pPr>
      <w:r w:rsidRPr="005A5AFB">
        <w:rPr>
          <w:lang w:val="es-MX"/>
        </w:rPr>
        <w:t>7</w:t>
      </w:r>
      <w:r w:rsidR="00382CF3" w:rsidRPr="005A5AFB">
        <w:rPr>
          <w:lang w:val="es-MX"/>
        </w:rPr>
        <w:t xml:space="preserve">. </w:t>
      </w:r>
      <w:r w:rsidR="005A5AFB" w:rsidRPr="0063163D">
        <w:rPr>
          <w:lang w:val="es-MX"/>
        </w:rPr>
        <w:t xml:space="preserve">Referencias y documentación </w:t>
      </w:r>
      <w:r w:rsidRPr="005A5AFB">
        <w:rPr>
          <w:color w:val="B4B4B4"/>
          <w:sz w:val="20"/>
          <w:lang w:val="es-MX"/>
        </w:rPr>
        <w:t>(OTHER_DOC)</w:t>
      </w:r>
    </w:p>
    <w:p w14:paraId="20ECC9B2" w14:textId="037D4C40" w:rsidR="00881B26" w:rsidRPr="00A068E2" w:rsidRDefault="00C97816" w:rsidP="006A7016">
      <w:pPr>
        <w:pStyle w:val="ListParagraph"/>
        <w:numPr>
          <w:ilvl w:val="0"/>
          <w:numId w:val="17"/>
        </w:numPr>
        <w:shd w:val="clear" w:color="auto" w:fill="FFFFFF"/>
        <w:spacing w:after="0"/>
        <w:rPr>
          <w:b/>
          <w:color w:val="4A4A4A"/>
          <w:sz w:val="21"/>
          <w:lang w:val="es-MX"/>
        </w:rPr>
      </w:pPr>
      <w:r w:rsidRPr="00904D39">
        <w:rPr>
          <w:rFonts w:eastAsia="Times New Roman" w:cs="Times New Roman"/>
          <w:b/>
          <w:bCs/>
          <w:color w:val="4A4A4A"/>
          <w:sz w:val="21"/>
          <w:szCs w:val="21"/>
          <w:lang w:val="es-MX" w:eastAsia="en-GB"/>
        </w:rPr>
        <w:t>URL:</w:t>
      </w:r>
      <w:r w:rsidR="00A068E2" w:rsidRPr="00904D39">
        <w:rPr>
          <w:rFonts w:eastAsia="Times New Roman" w:cs="Times New Roman"/>
          <w:b/>
          <w:bCs/>
          <w:color w:val="4A4A4A"/>
          <w:sz w:val="21"/>
          <w:szCs w:val="21"/>
          <w:lang w:val="es-MX" w:eastAsia="en-GB"/>
        </w:rPr>
        <w:t xml:space="preserve"> </w:t>
      </w:r>
      <w:r w:rsidR="00A068E2" w:rsidRPr="00A068E2">
        <w:rPr>
          <w:rFonts w:eastAsia="Times New Roman" w:cs="Times New Roman"/>
          <w:color w:val="4A4A4A"/>
          <w:sz w:val="21"/>
          <w:szCs w:val="21"/>
          <w:lang w:val="es-MX" w:eastAsia="en-GB"/>
        </w:rPr>
        <w:t xml:space="preserve">UNODC-UNECE. 2010. Manual sobre encuestas de victimización. Disponible en: </w:t>
      </w:r>
      <w:hyperlink r:id="rId14" w:history="1">
        <w:r w:rsidR="00881B26" w:rsidRPr="00A068E2">
          <w:rPr>
            <w:rStyle w:val="Hyperlink"/>
            <w:lang w:val="es-MX"/>
          </w:rPr>
          <w:t>https://www.unodc.org/unodc/en/data-and-analysis/Manual-on-victim-surveys.html</w:t>
        </w:r>
      </w:hyperlink>
    </w:p>
    <w:p w14:paraId="5C921D6A" w14:textId="77777777" w:rsidR="00881B26" w:rsidRPr="00A068E2" w:rsidRDefault="00881B26" w:rsidP="0039287E">
      <w:pPr>
        <w:shd w:val="clear" w:color="auto" w:fill="FFFFFF"/>
        <w:spacing w:after="0"/>
        <w:rPr>
          <w:b/>
          <w:color w:val="4A4A4A"/>
          <w:sz w:val="21"/>
          <w:lang w:val="es-MX"/>
        </w:rPr>
      </w:pPr>
    </w:p>
    <w:p w14:paraId="48462498" w14:textId="43929C60" w:rsidR="00E95D67" w:rsidRPr="00A068E2" w:rsidRDefault="00E95D67" w:rsidP="006A7016">
      <w:pPr>
        <w:pStyle w:val="ListParagraph"/>
        <w:numPr>
          <w:ilvl w:val="0"/>
          <w:numId w:val="17"/>
        </w:numPr>
        <w:shd w:val="clear" w:color="auto" w:fill="FFFFFF"/>
        <w:spacing w:after="0"/>
        <w:rPr>
          <w:rFonts w:eastAsia="Times New Roman" w:cs="Times New Roman"/>
          <w:sz w:val="21"/>
          <w:szCs w:val="21"/>
          <w:lang w:eastAsia="en-GB"/>
        </w:rPr>
      </w:pPr>
      <w:r w:rsidRPr="00904D39">
        <w:rPr>
          <w:rFonts w:eastAsia="Times New Roman" w:cs="Times New Roman"/>
          <w:sz w:val="21"/>
          <w:szCs w:val="21"/>
          <w:lang w:val="es-MX" w:eastAsia="en-GB"/>
        </w:rPr>
        <w:t xml:space="preserve">UNODC-UNDP-OHCHR. 2022. </w:t>
      </w:r>
      <w:r w:rsidR="00A068E2" w:rsidRPr="00904D39">
        <w:rPr>
          <w:rFonts w:eastAsia="Times New Roman" w:cs="Times New Roman"/>
          <w:sz w:val="21"/>
          <w:szCs w:val="21"/>
          <w:lang w:val="es-MX" w:eastAsia="en-GB"/>
        </w:rPr>
        <w:t xml:space="preserve">Cuestionario y manual de aplicación de la encuesta sobre el ODS 16. </w:t>
      </w:r>
      <w:r w:rsidR="00A068E2" w:rsidRPr="00A068E2">
        <w:rPr>
          <w:rFonts w:eastAsia="Times New Roman" w:cs="Times New Roman"/>
          <w:sz w:val="21"/>
          <w:szCs w:val="21"/>
          <w:lang w:eastAsia="en-GB"/>
        </w:rPr>
        <w:t xml:space="preserve">Disponible </w:t>
      </w:r>
      <w:proofErr w:type="spellStart"/>
      <w:r w:rsidR="00A068E2" w:rsidRPr="00A068E2">
        <w:rPr>
          <w:rFonts w:eastAsia="Times New Roman" w:cs="Times New Roman"/>
          <w:sz w:val="21"/>
          <w:szCs w:val="21"/>
          <w:lang w:eastAsia="en-GB"/>
        </w:rPr>
        <w:t>en</w:t>
      </w:r>
      <w:proofErr w:type="spellEnd"/>
      <w:r w:rsidR="00A068E2" w:rsidRPr="00A068E2">
        <w:rPr>
          <w:rFonts w:eastAsia="Times New Roman" w:cs="Times New Roman"/>
          <w:sz w:val="21"/>
          <w:szCs w:val="21"/>
          <w:lang w:eastAsia="en-GB"/>
        </w:rPr>
        <w:t>:</w:t>
      </w:r>
    </w:p>
    <w:p w14:paraId="45F6B522" w14:textId="6DB2C800" w:rsidR="00E95D67" w:rsidRDefault="00181577" w:rsidP="006A7016">
      <w:pPr>
        <w:shd w:val="clear" w:color="auto" w:fill="FFFFFF"/>
        <w:spacing w:after="0"/>
        <w:ind w:firstLine="720"/>
        <w:rPr>
          <w:rFonts w:eastAsia="Times New Roman" w:cs="Times New Roman"/>
          <w:color w:val="4A4A4A"/>
          <w:sz w:val="21"/>
          <w:szCs w:val="21"/>
          <w:lang w:eastAsia="en-GB"/>
        </w:rPr>
      </w:pPr>
      <w:hyperlink r:id="rId15" w:history="1">
        <w:r w:rsidRPr="00181577">
          <w:rPr>
            <w:rStyle w:val="Hyperlink"/>
            <w:rFonts w:eastAsia="Times New Roman" w:cs="Times New Roman"/>
            <w:sz w:val="21"/>
            <w:szCs w:val="21"/>
            <w:lang w:eastAsia="en-GB"/>
          </w:rPr>
          <w:t>https://www.sdg16hub.org/topic/sdg-16-survey-initiative-questionnaire</w:t>
        </w:r>
      </w:hyperlink>
    </w:p>
    <w:p w14:paraId="248FB1FE" w14:textId="315D1B49" w:rsidR="00E95D67" w:rsidRPr="00430C43" w:rsidRDefault="00181577" w:rsidP="006A7016">
      <w:pPr>
        <w:shd w:val="clear" w:color="auto" w:fill="FFFFFF"/>
        <w:spacing w:after="0"/>
        <w:ind w:firstLine="720"/>
        <w:rPr>
          <w:rFonts w:eastAsia="Times New Roman" w:cs="Times New Roman"/>
          <w:color w:val="4A4A4A"/>
          <w:sz w:val="21"/>
          <w:szCs w:val="21"/>
          <w:lang w:eastAsia="en-GB"/>
        </w:rPr>
      </w:pPr>
      <w:hyperlink r:id="rId16" w:history="1">
        <w:r w:rsidRPr="00181577">
          <w:rPr>
            <w:rStyle w:val="Hyperlink"/>
            <w:rFonts w:eastAsia="Times New Roman" w:cs="Times New Roman"/>
            <w:sz w:val="21"/>
            <w:szCs w:val="21"/>
            <w:lang w:eastAsia="en-GB"/>
          </w:rPr>
          <w:t>https://www.sdg16hub.org/topic/sdg-16-survey-initiative-implementation-manual</w:t>
        </w:r>
      </w:hyperlink>
      <w:r w:rsidR="00E95D67">
        <w:rPr>
          <w:rFonts w:eastAsia="Times New Roman" w:cs="Times New Roman"/>
          <w:color w:val="4A4A4A"/>
          <w:sz w:val="21"/>
          <w:szCs w:val="21"/>
          <w:lang w:eastAsia="en-GB"/>
        </w:rPr>
        <w:t xml:space="preserve"> </w:t>
      </w:r>
    </w:p>
    <w:p w14:paraId="453D24DD" w14:textId="77777777" w:rsidR="00C97816" w:rsidRPr="005019EC" w:rsidRDefault="00C97816" w:rsidP="00C97816">
      <w:pPr>
        <w:shd w:val="clear" w:color="auto" w:fill="FFFFFF"/>
        <w:spacing w:after="0"/>
        <w:rPr>
          <w:rFonts w:eastAsia="Times New Roman" w:cs="Times New Roman"/>
          <w:color w:val="4A4A4A"/>
          <w:lang w:eastAsia="en-GB"/>
        </w:rPr>
      </w:pPr>
    </w:p>
    <w:p w14:paraId="21B7FDB8" w14:textId="2B9FE3D9" w:rsidR="00181577" w:rsidRPr="00A068E2" w:rsidRDefault="00A068E2" w:rsidP="00181577">
      <w:pPr>
        <w:pStyle w:val="ListParagraph"/>
        <w:numPr>
          <w:ilvl w:val="0"/>
          <w:numId w:val="18"/>
        </w:numPr>
        <w:shd w:val="clear" w:color="auto" w:fill="FFFFFF"/>
        <w:spacing w:after="0"/>
        <w:rPr>
          <w:rFonts w:eastAsia="Times New Roman" w:cs="Times New Roman"/>
          <w:sz w:val="21"/>
          <w:szCs w:val="21"/>
          <w:lang w:eastAsia="en-GB"/>
        </w:rPr>
      </w:pPr>
      <w:r w:rsidRPr="00904D39">
        <w:rPr>
          <w:rFonts w:eastAsia="Times New Roman" w:cs="Times New Roman"/>
          <w:sz w:val="21"/>
          <w:szCs w:val="21"/>
          <w:lang w:val="es-MX" w:eastAsia="en-GB"/>
        </w:rPr>
        <w:t xml:space="preserve">Encuesta sobre necesidades jurídicas y acceso a la justicia. </w:t>
      </w:r>
      <w:r w:rsidRPr="00A068E2">
        <w:rPr>
          <w:rFonts w:eastAsia="Times New Roman" w:cs="Times New Roman"/>
          <w:sz w:val="21"/>
          <w:szCs w:val="21"/>
          <w:lang w:eastAsia="en-GB"/>
        </w:rPr>
        <w:t xml:space="preserve">Disponible </w:t>
      </w:r>
      <w:proofErr w:type="spellStart"/>
      <w:r w:rsidRPr="00A068E2">
        <w:rPr>
          <w:rFonts w:eastAsia="Times New Roman" w:cs="Times New Roman"/>
          <w:sz w:val="21"/>
          <w:szCs w:val="21"/>
          <w:lang w:eastAsia="en-GB"/>
        </w:rPr>
        <w:t>en</w:t>
      </w:r>
      <w:proofErr w:type="spellEnd"/>
      <w:r w:rsidRPr="00A068E2">
        <w:rPr>
          <w:rFonts w:eastAsia="Times New Roman" w:cs="Times New Roman"/>
          <w:sz w:val="21"/>
          <w:szCs w:val="21"/>
          <w:lang w:eastAsia="en-GB"/>
        </w:rPr>
        <w:t>:</w:t>
      </w:r>
    </w:p>
    <w:p w14:paraId="55BC1244" w14:textId="3157AB67" w:rsidR="00C97816" w:rsidRPr="00181577" w:rsidRDefault="00181577" w:rsidP="00A13368">
      <w:pPr>
        <w:pStyle w:val="ListParagraph"/>
        <w:shd w:val="clear" w:color="auto" w:fill="FFFFFF"/>
        <w:spacing w:after="0"/>
        <w:rPr>
          <w:rFonts w:eastAsia="Times New Roman" w:cs="Times New Roman"/>
          <w:color w:val="4A4A4A"/>
          <w:lang w:eastAsia="en-GB"/>
        </w:rPr>
      </w:pPr>
      <w:hyperlink r:id="rId17" w:history="1">
        <w:r w:rsidRPr="00181577">
          <w:rPr>
            <w:rStyle w:val="Hyperlink"/>
          </w:rPr>
          <w:t>https://www.oecd.org/governance/legal-needs-surveys-and-access-to-justice-g2g9a36c-en.htm</w:t>
        </w:r>
      </w:hyperlink>
    </w:p>
    <w:p w14:paraId="39BAE082" w14:textId="5AAC4458" w:rsidR="0005008F" w:rsidRDefault="0005008F" w:rsidP="0039287E"/>
    <w:sectPr w:rsidR="0005008F" w:rsidSect="0039287E">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C780" w14:textId="77777777" w:rsidR="004F6C57" w:rsidRDefault="004F6C57" w:rsidP="0039287E">
      <w:pPr>
        <w:spacing w:after="0" w:line="240" w:lineRule="auto"/>
      </w:pPr>
      <w:r>
        <w:separator/>
      </w:r>
    </w:p>
  </w:endnote>
  <w:endnote w:type="continuationSeparator" w:id="0">
    <w:p w14:paraId="61F932F5" w14:textId="77777777" w:rsidR="004F6C57" w:rsidRDefault="004F6C57" w:rsidP="0039287E">
      <w:pPr>
        <w:spacing w:after="0" w:line="240" w:lineRule="auto"/>
      </w:pPr>
      <w:r>
        <w:continuationSeparator/>
      </w:r>
    </w:p>
  </w:endnote>
  <w:endnote w:type="continuationNotice" w:id="1">
    <w:p w14:paraId="10FD6A25" w14:textId="77777777" w:rsidR="004F6C57" w:rsidRDefault="004F6C57" w:rsidP="00392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4BC5" w14:textId="77777777" w:rsidR="004F6C57" w:rsidRDefault="004F6C57" w:rsidP="00985988">
      <w:pPr>
        <w:spacing w:after="0" w:line="240" w:lineRule="auto"/>
      </w:pPr>
      <w:r>
        <w:separator/>
      </w:r>
    </w:p>
  </w:footnote>
  <w:footnote w:type="continuationSeparator" w:id="0">
    <w:p w14:paraId="00F7CD75" w14:textId="77777777" w:rsidR="004F6C57" w:rsidRDefault="004F6C57" w:rsidP="0039287E">
      <w:pPr>
        <w:spacing w:after="0" w:line="240" w:lineRule="auto"/>
      </w:pPr>
      <w:r>
        <w:continuationSeparator/>
      </w:r>
    </w:p>
  </w:footnote>
  <w:footnote w:type="continuationNotice" w:id="1">
    <w:p w14:paraId="19C793A3" w14:textId="77777777" w:rsidR="004F6C57" w:rsidRDefault="004F6C57" w:rsidP="0039287E">
      <w:pPr>
        <w:spacing w:after="0" w:line="240" w:lineRule="auto"/>
      </w:pPr>
    </w:p>
  </w:footnote>
  <w:footnote w:id="2">
    <w:p w14:paraId="5D7E68EB" w14:textId="77777777" w:rsidR="00325DEB" w:rsidRPr="00477CA6" w:rsidRDefault="00325DEB" w:rsidP="00325DEB">
      <w:pPr>
        <w:pStyle w:val="FootnoteText"/>
        <w:rPr>
          <w:i/>
          <w:iCs/>
        </w:rPr>
      </w:pPr>
      <w:r>
        <w:rPr>
          <w:rStyle w:val="FootnoteReference"/>
        </w:rPr>
        <w:footnoteRef/>
      </w:r>
      <w:r>
        <w:t xml:space="preserve"> </w:t>
      </w:r>
      <w:r w:rsidRPr="00477CA6">
        <w:t xml:space="preserve">Genn, G, </w:t>
      </w:r>
      <w:r w:rsidRPr="00477CA6">
        <w:rPr>
          <w:i/>
          <w:iCs/>
        </w:rPr>
        <w:t xml:space="preserve">Paths to Justice: What People Do and Think About Going to Law </w:t>
      </w:r>
      <w:r w:rsidRPr="00477CA6">
        <w:rPr>
          <w:iCs/>
        </w:rPr>
        <w:t>(</w:t>
      </w:r>
      <w:r w:rsidRPr="00477CA6">
        <w:t>Oxford: Hart, 1999), 12.</w:t>
      </w:r>
    </w:p>
  </w:footnote>
  <w:footnote w:id="3">
    <w:p w14:paraId="75F5664A" w14:textId="77777777" w:rsidR="00325DEB" w:rsidRPr="00DA42B0" w:rsidRDefault="00325DEB" w:rsidP="00325DEB">
      <w:pPr>
        <w:shd w:val="clear" w:color="auto" w:fill="FFFFFF" w:themeFill="background1"/>
        <w:jc w:val="both"/>
        <w:rPr>
          <w:rFonts w:ascii="Calibri" w:hAnsi="Calibri" w:cs="Calibri"/>
          <w:color w:val="000000" w:themeColor="text1"/>
          <w:sz w:val="21"/>
          <w:szCs w:val="21"/>
          <w:lang w:eastAsia="en-GB"/>
        </w:rPr>
      </w:pPr>
      <w:r>
        <w:rPr>
          <w:rStyle w:val="FootnoteReference"/>
        </w:rPr>
        <w:footnoteRef/>
      </w:r>
      <w:r>
        <w:t xml:space="preserve"> </w:t>
      </w:r>
      <w:r w:rsidRPr="00DA42B0">
        <w:rPr>
          <w:rFonts w:ascii="Calibri" w:hAnsi="Calibri" w:cs="Calibri"/>
          <w:color w:val="000000" w:themeColor="text1"/>
          <w:sz w:val="20"/>
          <w:szCs w:val="20"/>
          <w:lang w:eastAsia="en-GB"/>
        </w:rPr>
        <w:t xml:space="preserve">See </w:t>
      </w:r>
      <w:hyperlink r:id="rId1" w:history="1">
        <w:r w:rsidRPr="00DA42B0">
          <w:rPr>
            <w:rStyle w:val="Hyperlink"/>
            <w:rFonts w:ascii="Calibri" w:hAnsi="Calibri" w:cs="Calibri"/>
            <w:i/>
            <w:sz w:val="20"/>
            <w:szCs w:val="20"/>
            <w:lang w:eastAsia="en-GB"/>
          </w:rPr>
          <w:t>Legal Needs Surveys and Access to Justice</w:t>
        </w:r>
      </w:hyperlink>
      <w:r w:rsidRPr="00DA42B0">
        <w:rPr>
          <w:rFonts w:ascii="Calibri" w:hAnsi="Calibri" w:cs="Calibri"/>
          <w:i/>
          <w:color w:val="000000" w:themeColor="text1"/>
          <w:sz w:val="20"/>
          <w:szCs w:val="20"/>
          <w:lang w:eastAsia="en-GB"/>
        </w:rPr>
        <w:t xml:space="preserve"> </w:t>
      </w:r>
      <w:r w:rsidRPr="00DA42B0">
        <w:rPr>
          <w:rFonts w:ascii="Calibri" w:hAnsi="Calibri" w:cs="Calibri"/>
          <w:color w:val="000000" w:themeColor="text1"/>
          <w:sz w:val="20"/>
          <w:szCs w:val="20"/>
          <w:lang w:eastAsia="en-GB"/>
        </w:rPr>
        <w:t>, OECD (2019)</w:t>
      </w:r>
      <w:r>
        <w:rPr>
          <w:rFonts w:ascii="Calibri" w:hAnsi="Calibri" w:cs="Calibri"/>
          <w:color w:val="000000" w:themeColor="text1"/>
          <w:sz w:val="21"/>
          <w:szCs w:val="21"/>
          <w:lang w:eastAsia="en-GB"/>
        </w:rPr>
        <w:t xml:space="preserve"> </w:t>
      </w:r>
    </w:p>
  </w:footnote>
  <w:footnote w:id="4">
    <w:p w14:paraId="1A061943" w14:textId="301E125A" w:rsidR="009A57FB" w:rsidRPr="009A57FB" w:rsidRDefault="00325DEB" w:rsidP="009A57FB">
      <w:pPr>
        <w:pStyle w:val="FootnoteText"/>
        <w:rPr>
          <w:sz w:val="18"/>
          <w:szCs w:val="18"/>
          <w:lang w:val="es-MX"/>
        </w:rPr>
      </w:pPr>
      <w:r w:rsidRPr="00064508">
        <w:rPr>
          <w:rStyle w:val="FootnoteReference"/>
          <w:sz w:val="18"/>
          <w:szCs w:val="18"/>
        </w:rPr>
        <w:footnoteRef/>
      </w:r>
      <w:r w:rsidRPr="009A57FB">
        <w:rPr>
          <w:sz w:val="18"/>
          <w:szCs w:val="18"/>
          <w:lang w:val="es-MX"/>
        </w:rPr>
        <w:t xml:space="preserve"> </w:t>
      </w:r>
      <w:r w:rsidR="009A57FB" w:rsidRPr="009A57FB">
        <w:rPr>
          <w:i/>
          <w:iCs/>
          <w:sz w:val="18"/>
          <w:szCs w:val="18"/>
          <w:lang w:val="es-MX"/>
        </w:rPr>
        <w:t xml:space="preserve">Manual del Grupo Praia sobre estadísticas de gobernanza: Acceso a la justicia y calidad de </w:t>
      </w:r>
      <w:proofErr w:type="gramStart"/>
      <w:r w:rsidR="009A57FB" w:rsidRPr="009A57FB">
        <w:rPr>
          <w:i/>
          <w:iCs/>
          <w:sz w:val="18"/>
          <w:szCs w:val="18"/>
          <w:lang w:val="es-MX"/>
        </w:rPr>
        <w:t xml:space="preserve">la </w:t>
      </w:r>
      <w:r w:rsidR="009A57FB" w:rsidRPr="009A57FB">
        <w:rPr>
          <w:sz w:val="18"/>
          <w:szCs w:val="18"/>
          <w:lang w:val="es-MX"/>
        </w:rPr>
        <w:t>misma</w:t>
      </w:r>
      <w:proofErr w:type="gramEnd"/>
      <w:r w:rsidR="009A57FB" w:rsidRPr="009A57FB">
        <w:rPr>
          <w:sz w:val="18"/>
          <w:szCs w:val="18"/>
          <w:lang w:val="es-MX"/>
        </w:rPr>
        <w:t xml:space="preserve"> (de próxima publicación en 2019).</w:t>
      </w:r>
    </w:p>
    <w:p w14:paraId="61F5E309" w14:textId="7703DEA7" w:rsidR="00325DEB" w:rsidRPr="009A57FB" w:rsidRDefault="00325DEB" w:rsidP="00325DEB">
      <w:pPr>
        <w:pStyle w:val="FootnoteText"/>
        <w:rPr>
          <w:sz w:val="18"/>
          <w:szCs w:val="18"/>
          <w:lang w:val="es-MX"/>
        </w:rPr>
      </w:pPr>
    </w:p>
  </w:footnote>
  <w:footnote w:id="5">
    <w:p w14:paraId="048A59DC" w14:textId="3794DB10" w:rsidR="00325DEB" w:rsidRPr="00F125E7" w:rsidRDefault="00325DEB" w:rsidP="00325DEB">
      <w:pPr>
        <w:pStyle w:val="FootnoteText"/>
        <w:rPr>
          <w:lang w:val="es-MX"/>
        </w:rPr>
      </w:pPr>
      <w:r>
        <w:rPr>
          <w:rStyle w:val="FootnoteReference"/>
        </w:rPr>
        <w:footnoteRef/>
      </w:r>
      <w:r w:rsidRPr="00F125E7">
        <w:rPr>
          <w:lang w:val="es-MX"/>
        </w:rPr>
        <w:t xml:space="preserve"> </w:t>
      </w:r>
      <w:r w:rsidR="00F125E7" w:rsidRPr="00F125E7">
        <w:rPr>
          <w:lang w:val="es-MX"/>
        </w:rPr>
        <w:t xml:space="preserve">Este tipo de </w:t>
      </w:r>
      <w:r w:rsidR="00F125E7">
        <w:rPr>
          <w:lang w:val="es-MX"/>
        </w:rPr>
        <w:t>conflictos</w:t>
      </w:r>
      <w:r w:rsidR="00F125E7" w:rsidRPr="00F125E7">
        <w:rPr>
          <w:lang w:val="es-MX"/>
        </w:rPr>
        <w:t xml:space="preserve"> tienen una amplia aplicabilidad en todos los países, tal y como se refleja en </w:t>
      </w:r>
      <w:hyperlink r:id="rId2" w:history="1">
        <w:r w:rsidR="00F125E7" w:rsidRPr="00F125E7">
          <w:rPr>
            <w:rStyle w:val="Hyperlink"/>
            <w:i/>
            <w:iCs/>
            <w:lang w:val="es-MX"/>
          </w:rPr>
          <w:t xml:space="preserve">Legal </w:t>
        </w:r>
        <w:proofErr w:type="spellStart"/>
        <w:r w:rsidR="00F125E7" w:rsidRPr="00F125E7">
          <w:rPr>
            <w:rStyle w:val="Hyperlink"/>
            <w:i/>
            <w:iCs/>
            <w:lang w:val="es-MX"/>
          </w:rPr>
          <w:t>Needs</w:t>
        </w:r>
        <w:proofErr w:type="spellEnd"/>
        <w:r w:rsidR="00F125E7" w:rsidRPr="00F125E7">
          <w:rPr>
            <w:rStyle w:val="Hyperlink"/>
            <w:i/>
            <w:iCs/>
            <w:lang w:val="es-MX"/>
          </w:rPr>
          <w:t xml:space="preserve"> </w:t>
        </w:r>
        <w:proofErr w:type="spellStart"/>
        <w:r w:rsidR="00F125E7" w:rsidRPr="00F125E7">
          <w:rPr>
            <w:rStyle w:val="Hyperlink"/>
            <w:i/>
            <w:iCs/>
            <w:lang w:val="es-MX"/>
          </w:rPr>
          <w:t>Surveys</w:t>
        </w:r>
        <w:proofErr w:type="spellEnd"/>
        <w:r w:rsidR="00F125E7" w:rsidRPr="00F125E7">
          <w:rPr>
            <w:rStyle w:val="Hyperlink"/>
            <w:i/>
            <w:iCs/>
            <w:lang w:val="es-MX"/>
          </w:rPr>
          <w:t xml:space="preserve"> and Access </w:t>
        </w:r>
        <w:proofErr w:type="spellStart"/>
        <w:r w:rsidR="00F125E7" w:rsidRPr="00F125E7">
          <w:rPr>
            <w:rStyle w:val="Hyperlink"/>
            <w:i/>
            <w:iCs/>
            <w:lang w:val="es-MX"/>
          </w:rPr>
          <w:t>to</w:t>
        </w:r>
        <w:proofErr w:type="spellEnd"/>
        <w:r w:rsidR="00F125E7" w:rsidRPr="00F125E7">
          <w:rPr>
            <w:rStyle w:val="Hyperlink"/>
            <w:i/>
            <w:iCs/>
            <w:lang w:val="es-MX"/>
          </w:rPr>
          <w:t xml:space="preserve"> </w:t>
        </w:r>
        <w:proofErr w:type="spellStart"/>
        <w:r w:rsidR="00F125E7" w:rsidRPr="00F125E7">
          <w:rPr>
            <w:rStyle w:val="Hyperlink"/>
            <w:i/>
            <w:iCs/>
            <w:lang w:val="es-MX"/>
          </w:rPr>
          <w:t>Justice</w:t>
        </w:r>
        <w:proofErr w:type="spellEnd"/>
      </w:hyperlink>
      <w:r w:rsidR="00F125E7" w:rsidRPr="00F125E7">
        <w:rPr>
          <w:lang w:val="es-MX"/>
        </w:rPr>
        <w:t xml:space="preserve"> , OCDE (2019), que se basa en un análisis de más de 60 encuestas a gran escala sobre necesidades jurídicas realizadas durante los últimos 25 años.</w:t>
      </w:r>
    </w:p>
  </w:footnote>
  <w:footnote w:id="6">
    <w:p w14:paraId="61DF5027" w14:textId="2885AA5E" w:rsidR="00325DEB" w:rsidRPr="00F125E7" w:rsidRDefault="00325DEB" w:rsidP="00325DEB">
      <w:pPr>
        <w:pStyle w:val="FootnoteText"/>
        <w:rPr>
          <w:lang w:val="es-MX"/>
        </w:rPr>
      </w:pPr>
      <w:r>
        <w:rPr>
          <w:rStyle w:val="FootnoteReference"/>
        </w:rPr>
        <w:footnoteRef/>
      </w:r>
      <w:r w:rsidRPr="00F125E7">
        <w:rPr>
          <w:lang w:val="es-MX"/>
        </w:rPr>
        <w:t xml:space="preserve"> </w:t>
      </w:r>
      <w:r w:rsidR="00F125E7" w:rsidRPr="00F125E7">
        <w:rPr>
          <w:lang w:val="es-MX"/>
        </w:rPr>
        <w:t>Las pruebas experimentales indican que aumentar el período de referencia de una encuesta sobre necesidades jurídicas de uno a tres años solo tiene un impacto «bastante modesto» en la notificación de problemas [</w:t>
      </w:r>
      <w:proofErr w:type="spellStart"/>
      <w:r w:rsidR="00F125E7" w:rsidRPr="00F125E7">
        <w:rPr>
          <w:lang w:val="es-MX"/>
        </w:rPr>
        <w:t>Pleasence</w:t>
      </w:r>
      <w:proofErr w:type="spellEnd"/>
      <w:r w:rsidR="00F125E7" w:rsidRPr="00F125E7">
        <w:rPr>
          <w:lang w:val="es-MX"/>
        </w:rPr>
        <w:t xml:space="preserve"> et al. (2016)].</w:t>
      </w:r>
    </w:p>
  </w:footnote>
  <w:footnote w:id="7">
    <w:p w14:paraId="071F9140" w14:textId="739461BA" w:rsidR="00181577" w:rsidRPr="00CE77C8" w:rsidRDefault="00181577">
      <w:pPr>
        <w:pStyle w:val="FootnoteText"/>
        <w:rPr>
          <w:lang w:val="es-MX"/>
        </w:rPr>
      </w:pPr>
      <w:r>
        <w:rPr>
          <w:rStyle w:val="FootnoteReference"/>
        </w:rPr>
        <w:footnoteRef/>
      </w:r>
      <w:r w:rsidRPr="00CE77C8">
        <w:rPr>
          <w:lang w:val="es-MX"/>
        </w:rPr>
        <w:t xml:space="preserve"> </w:t>
      </w:r>
      <w:r w:rsidR="00CE77C8" w:rsidRPr="00CE77C8">
        <w:rPr>
          <w:lang w:val="es-MX"/>
        </w:rPr>
        <w:t>Véase</w:t>
      </w:r>
      <w:r w:rsidRPr="00CE77C8">
        <w:rPr>
          <w:lang w:val="es-MX"/>
        </w:rPr>
        <w:t xml:space="preserve"> </w:t>
      </w:r>
      <w:hyperlink r:id="rId3" w:history="1">
        <w:r w:rsidR="00CE77C8" w:rsidRPr="00CE77C8">
          <w:rPr>
            <w:rStyle w:val="Hyperlink"/>
            <w:lang w:val="es-MX"/>
          </w:rPr>
          <w:t>Cuestionario sobre la iniciativa del ODS 16</w:t>
        </w:r>
      </w:hyperlink>
      <w:r w:rsidR="00CE77C8" w:rsidRPr="00CE77C8">
        <w:rPr>
          <w:lang w:val="es-MX"/>
        </w:rPr>
        <w:t xml:space="preserve"> </w:t>
      </w:r>
    </w:p>
  </w:footnote>
  <w:footnote w:id="8">
    <w:p w14:paraId="1489FC69" w14:textId="32D6738F" w:rsidR="00181577" w:rsidRPr="00CE77C8" w:rsidRDefault="00181577">
      <w:pPr>
        <w:pStyle w:val="FootnoteText"/>
        <w:rPr>
          <w:lang w:val="es-MX"/>
        </w:rPr>
      </w:pPr>
      <w:r>
        <w:rPr>
          <w:rStyle w:val="FootnoteReference"/>
        </w:rPr>
        <w:footnoteRef/>
      </w:r>
      <w:r w:rsidRPr="00CE77C8">
        <w:rPr>
          <w:lang w:val="es-MX"/>
        </w:rPr>
        <w:t xml:space="preserve"> </w:t>
      </w:r>
      <w:r w:rsidR="00CE77C8" w:rsidRPr="00CE77C8">
        <w:rPr>
          <w:lang w:val="es-MX"/>
        </w:rPr>
        <w:t>Véase</w:t>
      </w:r>
      <w:r w:rsidRPr="00CE77C8">
        <w:rPr>
          <w:lang w:val="es-MX"/>
        </w:rPr>
        <w:t xml:space="preserve"> </w:t>
      </w:r>
      <w:hyperlink r:id="rId4" w:history="1">
        <w:r w:rsidR="00CE77C8" w:rsidRPr="00CE77C8">
          <w:rPr>
            <w:rStyle w:val="Hyperlink"/>
            <w:lang w:val="es-MX"/>
          </w:rPr>
          <w:t>Manual de implementación de la iniciativa del ODS 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4137" w14:textId="2430C0A4" w:rsidR="0005008F" w:rsidRPr="0039287E" w:rsidRDefault="005A5AFB" w:rsidP="0039287E">
    <w:pPr>
      <w:pStyle w:val="Header"/>
      <w:jc w:val="right"/>
      <w:rPr>
        <w:color w:val="404040" w:themeColor="text1" w:themeTint="BF"/>
        <w:sz w:val="18"/>
      </w:rPr>
    </w:pPr>
    <w:bookmarkStart w:id="5" w:name="_Hlk506197003"/>
    <w:bookmarkStart w:id="6" w:name="_Hlk506197004"/>
    <w:bookmarkStart w:id="7" w:name="_Hlk506197005"/>
    <w:bookmarkStart w:id="8" w:name="_Hlk516233502"/>
    <w:bookmarkStart w:id="9" w:name="_Hlk516233503"/>
    <w:bookmarkStart w:id="10"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00077F46" w:rsidRPr="00757E8A">
      <w:rPr>
        <w:color w:val="404040" w:themeColor="text1" w:themeTint="BF"/>
        <w:sz w:val="18"/>
        <w:szCs w:val="18"/>
      </w:rPr>
      <w:t>:</w:t>
    </w:r>
    <w:bookmarkEnd w:id="5"/>
    <w:bookmarkEnd w:id="6"/>
    <w:bookmarkEnd w:id="7"/>
    <w:bookmarkEnd w:id="8"/>
    <w:bookmarkEnd w:id="9"/>
    <w:bookmarkEnd w:id="10"/>
    <w:r w:rsidR="00AF5552">
      <w:rPr>
        <w:color w:val="404040" w:themeColor="text1" w:themeTint="BF"/>
        <w:sz w:val="18"/>
        <w:szCs w:val="18"/>
      </w:rPr>
      <w:t xml:space="preserve"> </w:t>
    </w:r>
    <w:r w:rsidR="00A45A05">
      <w:rPr>
        <w:color w:val="404040" w:themeColor="text1" w:themeTint="BF"/>
        <w:sz w:val="18"/>
        <w:szCs w:val="18"/>
      </w:rPr>
      <w:t>2023</w:t>
    </w:r>
    <w:r w:rsidR="00303A17">
      <w:rPr>
        <w:color w:val="404040" w:themeColor="text1" w:themeTint="BF"/>
        <w:sz w:val="18"/>
        <w:szCs w:val="18"/>
      </w:rPr>
      <w:t>-0</w:t>
    </w:r>
    <w:r w:rsidR="00A45A05">
      <w:rPr>
        <w:color w:val="404040" w:themeColor="text1" w:themeTint="BF"/>
        <w:sz w:val="18"/>
        <w:szCs w:val="18"/>
      </w:rPr>
      <w:t>3</w:t>
    </w:r>
    <w:r w:rsidR="00303A17">
      <w:rPr>
        <w:color w:val="404040" w:themeColor="text1" w:themeTint="BF"/>
        <w:sz w:val="18"/>
        <w:szCs w:val="18"/>
      </w:rPr>
      <w:t>-</w:t>
    </w:r>
    <w:r w:rsidR="00A45A05">
      <w:rPr>
        <w:color w:val="404040" w:themeColor="text1" w:themeTint="BF"/>
        <w:sz w:val="18"/>
        <w:szCs w:val="18"/>
      </w:rPr>
      <w:t>3</w:t>
    </w:r>
    <w:r w:rsidR="00303A17">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DD2"/>
    <w:multiLevelType w:val="multilevel"/>
    <w:tmpl w:val="36B0837A"/>
    <w:lvl w:ilvl="0">
      <w:numFmt w:val="decimal"/>
      <w:lvlText w:val="%1."/>
      <w:lvlJc w:val="left"/>
      <w:pPr>
        <w:tabs>
          <w:tab w:val="num" w:pos="0"/>
        </w:tabs>
        <w:ind w:left="454" w:hanging="315"/>
      </w:pPr>
      <w:rPr>
        <w:rFonts w:ascii="Calibri" w:eastAsia="Calibri" w:hAnsi="Calibri" w:cs="Calibri"/>
        <w:color w:val="1C75BB"/>
        <w:spacing w:val="-1"/>
        <w:w w:val="99"/>
        <w:sz w:val="32"/>
        <w:szCs w:val="32"/>
        <w:lang w:eastAsia="en-US" w:bidi="ar-SA"/>
      </w:rPr>
    </w:lvl>
    <w:lvl w:ilvl="1">
      <w:start w:val="1"/>
      <w:numFmt w:val="lowerLetter"/>
      <w:lvlText w:val="%1.%2."/>
      <w:lvlJc w:val="left"/>
      <w:pPr>
        <w:tabs>
          <w:tab w:val="num" w:pos="0"/>
        </w:tabs>
        <w:ind w:left="584" w:hanging="444"/>
      </w:pPr>
      <w:rPr>
        <w:rFonts w:ascii="Calibri" w:eastAsia="Calibri" w:hAnsi="Calibri" w:cs="Calibri"/>
        <w:color w:val="1C75BB"/>
        <w:w w:val="99"/>
        <w:sz w:val="26"/>
        <w:szCs w:val="26"/>
        <w:lang w:eastAsia="en-US" w:bidi="ar-SA"/>
      </w:rPr>
    </w:lvl>
    <w:lvl w:ilvl="2">
      <w:start w:val="1"/>
      <w:numFmt w:val="bullet"/>
      <w:lvlText w:val=""/>
      <w:lvlJc w:val="left"/>
      <w:pPr>
        <w:tabs>
          <w:tab w:val="num" w:pos="0"/>
        </w:tabs>
        <w:ind w:left="1660" w:hanging="444"/>
      </w:pPr>
      <w:rPr>
        <w:rFonts w:ascii="Symbol" w:hAnsi="Symbol" w:cs="Symbol" w:hint="default"/>
        <w:lang w:eastAsia="en-US" w:bidi="ar-SA"/>
      </w:rPr>
    </w:lvl>
    <w:lvl w:ilvl="3">
      <w:start w:val="1"/>
      <w:numFmt w:val="bullet"/>
      <w:lvlText w:val=""/>
      <w:lvlJc w:val="left"/>
      <w:pPr>
        <w:tabs>
          <w:tab w:val="num" w:pos="0"/>
        </w:tabs>
        <w:ind w:left="2741" w:hanging="444"/>
      </w:pPr>
      <w:rPr>
        <w:rFonts w:ascii="Symbol" w:hAnsi="Symbol" w:cs="Symbol" w:hint="default"/>
        <w:lang w:eastAsia="en-US" w:bidi="ar-SA"/>
      </w:rPr>
    </w:lvl>
    <w:lvl w:ilvl="4">
      <w:start w:val="1"/>
      <w:numFmt w:val="bullet"/>
      <w:lvlText w:val=""/>
      <w:lvlJc w:val="left"/>
      <w:pPr>
        <w:tabs>
          <w:tab w:val="num" w:pos="0"/>
        </w:tabs>
        <w:ind w:left="3822" w:hanging="444"/>
      </w:pPr>
      <w:rPr>
        <w:rFonts w:ascii="Symbol" w:hAnsi="Symbol" w:cs="Symbol" w:hint="default"/>
        <w:lang w:eastAsia="en-US" w:bidi="ar-SA"/>
      </w:rPr>
    </w:lvl>
    <w:lvl w:ilvl="5">
      <w:start w:val="1"/>
      <w:numFmt w:val="bullet"/>
      <w:lvlText w:val=""/>
      <w:lvlJc w:val="left"/>
      <w:pPr>
        <w:tabs>
          <w:tab w:val="num" w:pos="0"/>
        </w:tabs>
        <w:ind w:left="4902" w:hanging="444"/>
      </w:pPr>
      <w:rPr>
        <w:rFonts w:ascii="Symbol" w:hAnsi="Symbol" w:cs="Symbol" w:hint="default"/>
        <w:lang w:eastAsia="en-US" w:bidi="ar-SA"/>
      </w:rPr>
    </w:lvl>
    <w:lvl w:ilvl="6">
      <w:start w:val="1"/>
      <w:numFmt w:val="bullet"/>
      <w:lvlText w:val=""/>
      <w:lvlJc w:val="left"/>
      <w:pPr>
        <w:tabs>
          <w:tab w:val="num" w:pos="0"/>
        </w:tabs>
        <w:ind w:left="5983" w:hanging="444"/>
      </w:pPr>
      <w:rPr>
        <w:rFonts w:ascii="Symbol" w:hAnsi="Symbol" w:cs="Symbol" w:hint="default"/>
        <w:lang w:eastAsia="en-US" w:bidi="ar-SA"/>
      </w:rPr>
    </w:lvl>
    <w:lvl w:ilvl="7">
      <w:start w:val="1"/>
      <w:numFmt w:val="bullet"/>
      <w:lvlText w:val=""/>
      <w:lvlJc w:val="left"/>
      <w:pPr>
        <w:tabs>
          <w:tab w:val="num" w:pos="0"/>
        </w:tabs>
        <w:ind w:left="7064" w:hanging="444"/>
      </w:pPr>
      <w:rPr>
        <w:rFonts w:ascii="Symbol" w:hAnsi="Symbol" w:cs="Symbol" w:hint="default"/>
        <w:lang w:eastAsia="en-US" w:bidi="ar-SA"/>
      </w:rPr>
    </w:lvl>
    <w:lvl w:ilvl="8">
      <w:start w:val="1"/>
      <w:numFmt w:val="bullet"/>
      <w:lvlText w:val=""/>
      <w:lvlJc w:val="left"/>
      <w:pPr>
        <w:tabs>
          <w:tab w:val="num" w:pos="0"/>
        </w:tabs>
        <w:ind w:left="8144" w:hanging="444"/>
      </w:pPr>
      <w:rPr>
        <w:rFonts w:ascii="Symbol" w:hAnsi="Symbol" w:cs="Symbol" w:hint="default"/>
        <w:lang w:eastAsia="en-US" w:bidi="ar-SA"/>
      </w:rPr>
    </w:lvl>
  </w:abstractNum>
  <w:abstractNum w:abstractNumId="1" w15:restartNumberingAfterBreak="0">
    <w:nsid w:val="08C47CDF"/>
    <w:multiLevelType w:val="multilevel"/>
    <w:tmpl w:val="9DFC7AAA"/>
    <w:lvl w:ilvl="0">
      <w:start w:val="1"/>
      <w:numFmt w:val="bullet"/>
      <w:lvlText w:val="-"/>
      <w:lvlJc w:val="left"/>
      <w:pPr>
        <w:tabs>
          <w:tab w:val="num" w:pos="0"/>
        </w:tabs>
        <w:ind w:left="860" w:hanging="360"/>
      </w:pPr>
      <w:rPr>
        <w:rFonts w:ascii="Calibri" w:hAnsi="Calibri" w:cs="Calibri" w:hint="default"/>
        <w:color w:val="494949"/>
        <w:w w:val="100"/>
        <w:sz w:val="22"/>
        <w:szCs w:val="22"/>
        <w:lang w:eastAsia="en-US" w:bidi="ar-SA"/>
      </w:rPr>
    </w:lvl>
    <w:lvl w:ilvl="1">
      <w:start w:val="1"/>
      <w:numFmt w:val="bullet"/>
      <w:lvlText w:val=""/>
      <w:lvlJc w:val="left"/>
      <w:pPr>
        <w:tabs>
          <w:tab w:val="num" w:pos="0"/>
        </w:tabs>
        <w:ind w:left="1804" w:hanging="360"/>
      </w:pPr>
      <w:rPr>
        <w:rFonts w:ascii="Symbol" w:hAnsi="Symbol" w:cs="Symbol" w:hint="default"/>
        <w:lang w:eastAsia="en-US" w:bidi="ar-SA"/>
      </w:rPr>
    </w:lvl>
    <w:lvl w:ilvl="2">
      <w:start w:val="1"/>
      <w:numFmt w:val="bullet"/>
      <w:lvlText w:val=""/>
      <w:lvlJc w:val="left"/>
      <w:pPr>
        <w:tabs>
          <w:tab w:val="num" w:pos="0"/>
        </w:tabs>
        <w:ind w:left="2749" w:hanging="360"/>
      </w:pPr>
      <w:rPr>
        <w:rFonts w:ascii="Symbol" w:hAnsi="Symbol" w:cs="Symbol" w:hint="default"/>
        <w:lang w:eastAsia="en-US" w:bidi="ar-SA"/>
      </w:rPr>
    </w:lvl>
    <w:lvl w:ilvl="3">
      <w:start w:val="1"/>
      <w:numFmt w:val="bullet"/>
      <w:lvlText w:val=""/>
      <w:lvlJc w:val="left"/>
      <w:pPr>
        <w:tabs>
          <w:tab w:val="num" w:pos="0"/>
        </w:tabs>
        <w:ind w:left="3693" w:hanging="360"/>
      </w:pPr>
      <w:rPr>
        <w:rFonts w:ascii="Symbol" w:hAnsi="Symbol" w:cs="Symbol" w:hint="default"/>
        <w:lang w:eastAsia="en-US" w:bidi="ar-SA"/>
      </w:rPr>
    </w:lvl>
    <w:lvl w:ilvl="4">
      <w:start w:val="1"/>
      <w:numFmt w:val="bullet"/>
      <w:lvlText w:val=""/>
      <w:lvlJc w:val="left"/>
      <w:pPr>
        <w:tabs>
          <w:tab w:val="num" w:pos="0"/>
        </w:tabs>
        <w:ind w:left="4638" w:hanging="360"/>
      </w:pPr>
      <w:rPr>
        <w:rFonts w:ascii="Symbol" w:hAnsi="Symbol" w:cs="Symbol" w:hint="default"/>
        <w:lang w:eastAsia="en-US" w:bidi="ar-SA"/>
      </w:rPr>
    </w:lvl>
    <w:lvl w:ilvl="5">
      <w:start w:val="1"/>
      <w:numFmt w:val="bullet"/>
      <w:lvlText w:val=""/>
      <w:lvlJc w:val="left"/>
      <w:pPr>
        <w:tabs>
          <w:tab w:val="num" w:pos="0"/>
        </w:tabs>
        <w:ind w:left="5583" w:hanging="360"/>
      </w:pPr>
      <w:rPr>
        <w:rFonts w:ascii="Symbol" w:hAnsi="Symbol" w:cs="Symbol" w:hint="default"/>
        <w:lang w:eastAsia="en-US" w:bidi="ar-SA"/>
      </w:rPr>
    </w:lvl>
    <w:lvl w:ilvl="6">
      <w:start w:val="1"/>
      <w:numFmt w:val="bullet"/>
      <w:lvlText w:val=""/>
      <w:lvlJc w:val="left"/>
      <w:pPr>
        <w:tabs>
          <w:tab w:val="num" w:pos="0"/>
        </w:tabs>
        <w:ind w:left="6527" w:hanging="360"/>
      </w:pPr>
      <w:rPr>
        <w:rFonts w:ascii="Symbol" w:hAnsi="Symbol" w:cs="Symbol" w:hint="default"/>
        <w:lang w:eastAsia="en-US" w:bidi="ar-SA"/>
      </w:rPr>
    </w:lvl>
    <w:lvl w:ilvl="7">
      <w:start w:val="1"/>
      <w:numFmt w:val="bullet"/>
      <w:lvlText w:val=""/>
      <w:lvlJc w:val="left"/>
      <w:pPr>
        <w:tabs>
          <w:tab w:val="num" w:pos="0"/>
        </w:tabs>
        <w:ind w:left="7472" w:hanging="360"/>
      </w:pPr>
      <w:rPr>
        <w:rFonts w:ascii="Symbol" w:hAnsi="Symbol" w:cs="Symbol" w:hint="default"/>
        <w:lang w:eastAsia="en-US" w:bidi="ar-SA"/>
      </w:rPr>
    </w:lvl>
    <w:lvl w:ilvl="8">
      <w:start w:val="1"/>
      <w:numFmt w:val="bullet"/>
      <w:lvlText w:val=""/>
      <w:lvlJc w:val="left"/>
      <w:pPr>
        <w:tabs>
          <w:tab w:val="num" w:pos="0"/>
        </w:tabs>
        <w:ind w:left="8417" w:hanging="360"/>
      </w:pPr>
      <w:rPr>
        <w:rFonts w:ascii="Symbol" w:hAnsi="Symbol" w:cs="Symbol" w:hint="default"/>
        <w:lang w:eastAsia="en-US" w:bidi="ar-SA"/>
      </w:rPr>
    </w:lvl>
  </w:abstractNum>
  <w:abstractNum w:abstractNumId="2" w15:restartNumberingAfterBreak="0">
    <w:nsid w:val="177F28AB"/>
    <w:multiLevelType w:val="multilevel"/>
    <w:tmpl w:val="73A0572A"/>
    <w:lvl w:ilvl="0">
      <w:start w:val="1"/>
      <w:numFmt w:val="decimal"/>
      <w:lvlText w:val="%1."/>
      <w:lvlJc w:val="left"/>
      <w:pPr>
        <w:tabs>
          <w:tab w:val="num" w:pos="0"/>
        </w:tabs>
        <w:ind w:left="454" w:hanging="315"/>
      </w:pPr>
      <w:rPr>
        <w:rFonts w:ascii="Calibri" w:eastAsia="Calibri" w:hAnsi="Calibri" w:cs="Calibri"/>
        <w:color w:val="1C75BB"/>
        <w:spacing w:val="-1"/>
        <w:w w:val="99"/>
        <w:sz w:val="32"/>
        <w:szCs w:val="32"/>
        <w:lang w:eastAsia="en-US" w:bidi="ar-SA"/>
      </w:rPr>
    </w:lvl>
    <w:lvl w:ilvl="1">
      <w:start w:val="1"/>
      <w:numFmt w:val="lowerLetter"/>
      <w:lvlText w:val="%1.%2."/>
      <w:lvlJc w:val="left"/>
      <w:pPr>
        <w:tabs>
          <w:tab w:val="num" w:pos="0"/>
        </w:tabs>
        <w:ind w:left="585" w:hanging="445"/>
      </w:pPr>
      <w:rPr>
        <w:color w:val="4A4A4A"/>
        <w:w w:val="99"/>
        <w:lang w:eastAsia="en-US" w:bidi="ar-SA"/>
      </w:rPr>
    </w:lvl>
    <w:lvl w:ilvl="2">
      <w:start w:val="1"/>
      <w:numFmt w:val="bullet"/>
      <w:lvlText w:val=""/>
      <w:lvlJc w:val="left"/>
      <w:pPr>
        <w:tabs>
          <w:tab w:val="num" w:pos="0"/>
        </w:tabs>
        <w:ind w:left="860" w:hanging="445"/>
      </w:pPr>
      <w:rPr>
        <w:rFonts w:ascii="Symbol" w:hAnsi="Symbol" w:cs="Symbol" w:hint="default"/>
        <w:color w:val="494949"/>
        <w:w w:val="100"/>
        <w:sz w:val="22"/>
        <w:szCs w:val="22"/>
        <w:lang w:eastAsia="en-US" w:bidi="ar-SA"/>
      </w:rPr>
    </w:lvl>
    <w:lvl w:ilvl="3">
      <w:start w:val="1"/>
      <w:numFmt w:val="bullet"/>
      <w:lvlText w:val=""/>
      <w:lvlJc w:val="left"/>
      <w:pPr>
        <w:tabs>
          <w:tab w:val="num" w:pos="0"/>
        </w:tabs>
        <w:ind w:left="2040" w:hanging="445"/>
      </w:pPr>
      <w:rPr>
        <w:rFonts w:ascii="Symbol" w:hAnsi="Symbol" w:cs="Symbol" w:hint="default"/>
        <w:lang w:eastAsia="en-US" w:bidi="ar-SA"/>
      </w:rPr>
    </w:lvl>
    <w:lvl w:ilvl="4">
      <w:start w:val="1"/>
      <w:numFmt w:val="bullet"/>
      <w:lvlText w:val=""/>
      <w:lvlJc w:val="left"/>
      <w:pPr>
        <w:tabs>
          <w:tab w:val="num" w:pos="0"/>
        </w:tabs>
        <w:ind w:left="3221" w:hanging="445"/>
      </w:pPr>
      <w:rPr>
        <w:rFonts w:ascii="Symbol" w:hAnsi="Symbol" w:cs="Symbol" w:hint="default"/>
        <w:lang w:eastAsia="en-US" w:bidi="ar-SA"/>
      </w:rPr>
    </w:lvl>
    <w:lvl w:ilvl="5">
      <w:start w:val="1"/>
      <w:numFmt w:val="bullet"/>
      <w:lvlText w:val=""/>
      <w:lvlJc w:val="left"/>
      <w:pPr>
        <w:tabs>
          <w:tab w:val="num" w:pos="0"/>
        </w:tabs>
        <w:ind w:left="4402" w:hanging="445"/>
      </w:pPr>
      <w:rPr>
        <w:rFonts w:ascii="Symbol" w:hAnsi="Symbol" w:cs="Symbol" w:hint="default"/>
        <w:lang w:eastAsia="en-US" w:bidi="ar-SA"/>
      </w:rPr>
    </w:lvl>
    <w:lvl w:ilvl="6">
      <w:start w:val="1"/>
      <w:numFmt w:val="bullet"/>
      <w:lvlText w:val=""/>
      <w:lvlJc w:val="left"/>
      <w:pPr>
        <w:tabs>
          <w:tab w:val="num" w:pos="0"/>
        </w:tabs>
        <w:ind w:left="5583" w:hanging="445"/>
      </w:pPr>
      <w:rPr>
        <w:rFonts w:ascii="Symbol" w:hAnsi="Symbol" w:cs="Symbol" w:hint="default"/>
        <w:lang w:eastAsia="en-US" w:bidi="ar-SA"/>
      </w:rPr>
    </w:lvl>
    <w:lvl w:ilvl="7">
      <w:start w:val="1"/>
      <w:numFmt w:val="bullet"/>
      <w:lvlText w:val=""/>
      <w:lvlJc w:val="left"/>
      <w:pPr>
        <w:tabs>
          <w:tab w:val="num" w:pos="0"/>
        </w:tabs>
        <w:ind w:left="6764" w:hanging="445"/>
      </w:pPr>
      <w:rPr>
        <w:rFonts w:ascii="Symbol" w:hAnsi="Symbol" w:cs="Symbol" w:hint="default"/>
        <w:lang w:eastAsia="en-US" w:bidi="ar-SA"/>
      </w:rPr>
    </w:lvl>
    <w:lvl w:ilvl="8">
      <w:start w:val="1"/>
      <w:numFmt w:val="bullet"/>
      <w:lvlText w:val=""/>
      <w:lvlJc w:val="left"/>
      <w:pPr>
        <w:tabs>
          <w:tab w:val="num" w:pos="0"/>
        </w:tabs>
        <w:ind w:left="7944" w:hanging="445"/>
      </w:pPr>
      <w:rPr>
        <w:rFonts w:ascii="Symbol" w:hAnsi="Symbol" w:cs="Symbol" w:hint="default"/>
        <w:lang w:eastAsia="en-US" w:bidi="ar-SA"/>
      </w:rPr>
    </w:lvl>
  </w:abstractNum>
  <w:abstractNum w:abstractNumId="3" w15:restartNumberingAfterBreak="0">
    <w:nsid w:val="18F369F2"/>
    <w:multiLevelType w:val="hybridMultilevel"/>
    <w:tmpl w:val="8C6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00284"/>
    <w:multiLevelType w:val="multilevel"/>
    <w:tmpl w:val="4A62078E"/>
    <w:lvl w:ilvl="0">
      <w:start w:val="1"/>
      <w:numFmt w:val="lowerLetter"/>
      <w:lvlText w:val="%1)"/>
      <w:lvlJc w:val="left"/>
      <w:pPr>
        <w:tabs>
          <w:tab w:val="num" w:pos="0"/>
        </w:tabs>
        <w:ind w:left="860" w:hanging="360"/>
      </w:pPr>
      <w:rPr>
        <w:rFonts w:ascii="Calibri" w:eastAsia="Calibri" w:hAnsi="Calibri" w:cs="Calibri"/>
        <w:color w:val="494949"/>
        <w:spacing w:val="-1"/>
        <w:w w:val="100"/>
        <w:sz w:val="21"/>
        <w:szCs w:val="21"/>
        <w:lang w:eastAsia="en-US" w:bidi="ar-SA"/>
      </w:rPr>
    </w:lvl>
    <w:lvl w:ilvl="1">
      <w:start w:val="1"/>
      <w:numFmt w:val="bullet"/>
      <w:lvlText w:val=""/>
      <w:lvlJc w:val="left"/>
      <w:pPr>
        <w:tabs>
          <w:tab w:val="num" w:pos="0"/>
        </w:tabs>
        <w:ind w:left="1804" w:hanging="360"/>
      </w:pPr>
      <w:rPr>
        <w:rFonts w:ascii="Symbol" w:hAnsi="Symbol" w:cs="Symbol" w:hint="default"/>
        <w:lang w:eastAsia="en-US" w:bidi="ar-SA"/>
      </w:rPr>
    </w:lvl>
    <w:lvl w:ilvl="2">
      <w:start w:val="1"/>
      <w:numFmt w:val="bullet"/>
      <w:lvlText w:val=""/>
      <w:lvlJc w:val="left"/>
      <w:pPr>
        <w:tabs>
          <w:tab w:val="num" w:pos="0"/>
        </w:tabs>
        <w:ind w:left="2749" w:hanging="360"/>
      </w:pPr>
      <w:rPr>
        <w:rFonts w:ascii="Symbol" w:hAnsi="Symbol" w:cs="Symbol" w:hint="default"/>
        <w:lang w:eastAsia="en-US" w:bidi="ar-SA"/>
      </w:rPr>
    </w:lvl>
    <w:lvl w:ilvl="3">
      <w:start w:val="1"/>
      <w:numFmt w:val="bullet"/>
      <w:lvlText w:val=""/>
      <w:lvlJc w:val="left"/>
      <w:pPr>
        <w:tabs>
          <w:tab w:val="num" w:pos="0"/>
        </w:tabs>
        <w:ind w:left="3693" w:hanging="360"/>
      </w:pPr>
      <w:rPr>
        <w:rFonts w:ascii="Symbol" w:hAnsi="Symbol" w:cs="Symbol" w:hint="default"/>
        <w:lang w:eastAsia="en-US" w:bidi="ar-SA"/>
      </w:rPr>
    </w:lvl>
    <w:lvl w:ilvl="4">
      <w:start w:val="1"/>
      <w:numFmt w:val="bullet"/>
      <w:lvlText w:val=""/>
      <w:lvlJc w:val="left"/>
      <w:pPr>
        <w:tabs>
          <w:tab w:val="num" w:pos="0"/>
        </w:tabs>
        <w:ind w:left="4638" w:hanging="360"/>
      </w:pPr>
      <w:rPr>
        <w:rFonts w:ascii="Symbol" w:hAnsi="Symbol" w:cs="Symbol" w:hint="default"/>
        <w:lang w:eastAsia="en-US" w:bidi="ar-SA"/>
      </w:rPr>
    </w:lvl>
    <w:lvl w:ilvl="5">
      <w:start w:val="1"/>
      <w:numFmt w:val="bullet"/>
      <w:lvlText w:val=""/>
      <w:lvlJc w:val="left"/>
      <w:pPr>
        <w:tabs>
          <w:tab w:val="num" w:pos="0"/>
        </w:tabs>
        <w:ind w:left="5583" w:hanging="360"/>
      </w:pPr>
      <w:rPr>
        <w:rFonts w:ascii="Symbol" w:hAnsi="Symbol" w:cs="Symbol" w:hint="default"/>
        <w:lang w:eastAsia="en-US" w:bidi="ar-SA"/>
      </w:rPr>
    </w:lvl>
    <w:lvl w:ilvl="6">
      <w:start w:val="1"/>
      <w:numFmt w:val="bullet"/>
      <w:lvlText w:val=""/>
      <w:lvlJc w:val="left"/>
      <w:pPr>
        <w:tabs>
          <w:tab w:val="num" w:pos="0"/>
        </w:tabs>
        <w:ind w:left="6527" w:hanging="360"/>
      </w:pPr>
      <w:rPr>
        <w:rFonts w:ascii="Symbol" w:hAnsi="Symbol" w:cs="Symbol" w:hint="default"/>
        <w:lang w:eastAsia="en-US" w:bidi="ar-SA"/>
      </w:rPr>
    </w:lvl>
    <w:lvl w:ilvl="7">
      <w:start w:val="1"/>
      <w:numFmt w:val="bullet"/>
      <w:lvlText w:val=""/>
      <w:lvlJc w:val="left"/>
      <w:pPr>
        <w:tabs>
          <w:tab w:val="num" w:pos="0"/>
        </w:tabs>
        <w:ind w:left="7472" w:hanging="360"/>
      </w:pPr>
      <w:rPr>
        <w:rFonts w:ascii="Symbol" w:hAnsi="Symbol" w:cs="Symbol" w:hint="default"/>
        <w:lang w:eastAsia="en-US" w:bidi="ar-SA"/>
      </w:rPr>
    </w:lvl>
    <w:lvl w:ilvl="8">
      <w:start w:val="1"/>
      <w:numFmt w:val="bullet"/>
      <w:lvlText w:val=""/>
      <w:lvlJc w:val="left"/>
      <w:pPr>
        <w:tabs>
          <w:tab w:val="num" w:pos="0"/>
        </w:tabs>
        <w:ind w:left="8417" w:hanging="360"/>
      </w:pPr>
      <w:rPr>
        <w:rFonts w:ascii="Symbol" w:hAnsi="Symbol" w:cs="Symbol" w:hint="default"/>
        <w:lang w:eastAsia="en-US" w:bidi="ar-SA"/>
      </w:rPr>
    </w:lvl>
  </w:abstractNum>
  <w:abstractNum w:abstractNumId="7" w15:restartNumberingAfterBreak="0">
    <w:nsid w:val="33F634D4"/>
    <w:multiLevelType w:val="hybridMultilevel"/>
    <w:tmpl w:val="C9069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AD2054"/>
    <w:multiLevelType w:val="multilevel"/>
    <w:tmpl w:val="E250A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5C21012"/>
    <w:multiLevelType w:val="multilevel"/>
    <w:tmpl w:val="50D0985A"/>
    <w:lvl w:ilvl="0">
      <w:start w:val="1"/>
      <w:numFmt w:val="bullet"/>
      <w:lvlText w:val="•"/>
      <w:lvlJc w:val="left"/>
      <w:pPr>
        <w:tabs>
          <w:tab w:val="num" w:pos="0"/>
        </w:tabs>
        <w:ind w:left="860" w:hanging="720"/>
      </w:pPr>
      <w:rPr>
        <w:rFonts w:ascii="Calibri" w:hAnsi="Calibri" w:cs="Calibri" w:hint="default"/>
        <w:color w:val="494949"/>
        <w:w w:val="100"/>
        <w:sz w:val="21"/>
        <w:szCs w:val="21"/>
        <w:lang w:eastAsia="en-US" w:bidi="ar-SA"/>
      </w:rPr>
    </w:lvl>
    <w:lvl w:ilvl="1">
      <w:start w:val="1"/>
      <w:numFmt w:val="bullet"/>
      <w:lvlText w:val=""/>
      <w:lvlJc w:val="left"/>
      <w:pPr>
        <w:tabs>
          <w:tab w:val="num" w:pos="0"/>
        </w:tabs>
        <w:ind w:left="1804" w:hanging="720"/>
      </w:pPr>
      <w:rPr>
        <w:rFonts w:ascii="Symbol" w:hAnsi="Symbol" w:cs="Symbol" w:hint="default"/>
        <w:lang w:eastAsia="en-US" w:bidi="ar-SA"/>
      </w:rPr>
    </w:lvl>
    <w:lvl w:ilvl="2">
      <w:start w:val="1"/>
      <w:numFmt w:val="bullet"/>
      <w:lvlText w:val=""/>
      <w:lvlJc w:val="left"/>
      <w:pPr>
        <w:tabs>
          <w:tab w:val="num" w:pos="0"/>
        </w:tabs>
        <w:ind w:left="2749" w:hanging="720"/>
      </w:pPr>
      <w:rPr>
        <w:rFonts w:ascii="Symbol" w:hAnsi="Symbol" w:cs="Symbol" w:hint="default"/>
        <w:lang w:eastAsia="en-US" w:bidi="ar-SA"/>
      </w:rPr>
    </w:lvl>
    <w:lvl w:ilvl="3">
      <w:start w:val="1"/>
      <w:numFmt w:val="bullet"/>
      <w:lvlText w:val=""/>
      <w:lvlJc w:val="left"/>
      <w:pPr>
        <w:tabs>
          <w:tab w:val="num" w:pos="0"/>
        </w:tabs>
        <w:ind w:left="3693" w:hanging="720"/>
      </w:pPr>
      <w:rPr>
        <w:rFonts w:ascii="Symbol" w:hAnsi="Symbol" w:cs="Symbol" w:hint="default"/>
        <w:lang w:eastAsia="en-US" w:bidi="ar-SA"/>
      </w:rPr>
    </w:lvl>
    <w:lvl w:ilvl="4">
      <w:start w:val="1"/>
      <w:numFmt w:val="bullet"/>
      <w:lvlText w:val=""/>
      <w:lvlJc w:val="left"/>
      <w:pPr>
        <w:tabs>
          <w:tab w:val="num" w:pos="0"/>
        </w:tabs>
        <w:ind w:left="4638" w:hanging="720"/>
      </w:pPr>
      <w:rPr>
        <w:rFonts w:ascii="Symbol" w:hAnsi="Symbol" w:cs="Symbol" w:hint="default"/>
        <w:lang w:eastAsia="en-US" w:bidi="ar-SA"/>
      </w:rPr>
    </w:lvl>
    <w:lvl w:ilvl="5">
      <w:start w:val="1"/>
      <w:numFmt w:val="bullet"/>
      <w:lvlText w:val=""/>
      <w:lvlJc w:val="left"/>
      <w:pPr>
        <w:tabs>
          <w:tab w:val="num" w:pos="0"/>
        </w:tabs>
        <w:ind w:left="5583" w:hanging="720"/>
      </w:pPr>
      <w:rPr>
        <w:rFonts w:ascii="Symbol" w:hAnsi="Symbol" w:cs="Symbol" w:hint="default"/>
        <w:lang w:eastAsia="en-US" w:bidi="ar-SA"/>
      </w:rPr>
    </w:lvl>
    <w:lvl w:ilvl="6">
      <w:start w:val="1"/>
      <w:numFmt w:val="bullet"/>
      <w:lvlText w:val=""/>
      <w:lvlJc w:val="left"/>
      <w:pPr>
        <w:tabs>
          <w:tab w:val="num" w:pos="0"/>
        </w:tabs>
        <w:ind w:left="6527" w:hanging="720"/>
      </w:pPr>
      <w:rPr>
        <w:rFonts w:ascii="Symbol" w:hAnsi="Symbol" w:cs="Symbol" w:hint="default"/>
        <w:lang w:eastAsia="en-US" w:bidi="ar-SA"/>
      </w:rPr>
    </w:lvl>
    <w:lvl w:ilvl="7">
      <w:start w:val="1"/>
      <w:numFmt w:val="bullet"/>
      <w:lvlText w:val=""/>
      <w:lvlJc w:val="left"/>
      <w:pPr>
        <w:tabs>
          <w:tab w:val="num" w:pos="0"/>
        </w:tabs>
        <w:ind w:left="7472" w:hanging="720"/>
      </w:pPr>
      <w:rPr>
        <w:rFonts w:ascii="Symbol" w:hAnsi="Symbol" w:cs="Symbol" w:hint="default"/>
        <w:lang w:eastAsia="en-US" w:bidi="ar-SA"/>
      </w:rPr>
    </w:lvl>
    <w:lvl w:ilvl="8">
      <w:start w:val="1"/>
      <w:numFmt w:val="bullet"/>
      <w:lvlText w:val=""/>
      <w:lvlJc w:val="left"/>
      <w:pPr>
        <w:tabs>
          <w:tab w:val="num" w:pos="0"/>
        </w:tabs>
        <w:ind w:left="8417" w:hanging="720"/>
      </w:pPr>
      <w:rPr>
        <w:rFonts w:ascii="Symbol" w:hAnsi="Symbol" w:cs="Symbol" w:hint="default"/>
        <w:lang w:eastAsia="en-US" w:bidi="ar-SA"/>
      </w:rPr>
    </w:lvl>
  </w:abstractNum>
  <w:abstractNum w:abstractNumId="10" w15:restartNumberingAfterBreak="0">
    <w:nsid w:val="3DB92F2F"/>
    <w:multiLevelType w:val="multilevel"/>
    <w:tmpl w:val="D0F4CC98"/>
    <w:lvl w:ilvl="0">
      <w:start w:val="1"/>
      <w:numFmt w:val="bullet"/>
      <w:lvlText w:val="-"/>
      <w:lvlJc w:val="left"/>
      <w:pPr>
        <w:tabs>
          <w:tab w:val="num" w:pos="0"/>
        </w:tabs>
        <w:ind w:left="258" w:hanging="118"/>
      </w:pPr>
      <w:rPr>
        <w:rFonts w:ascii="Calibri" w:hAnsi="Calibri" w:cs="Calibri" w:hint="default"/>
        <w:color w:val="494949"/>
        <w:w w:val="100"/>
        <w:sz w:val="22"/>
        <w:szCs w:val="22"/>
        <w:lang w:eastAsia="en-US" w:bidi="ar-SA"/>
      </w:rPr>
    </w:lvl>
    <w:lvl w:ilvl="1">
      <w:start w:val="1"/>
      <w:numFmt w:val="bullet"/>
      <w:lvlText w:val=""/>
      <w:lvlJc w:val="left"/>
      <w:pPr>
        <w:tabs>
          <w:tab w:val="num" w:pos="0"/>
        </w:tabs>
        <w:ind w:left="1264" w:hanging="118"/>
      </w:pPr>
      <w:rPr>
        <w:rFonts w:ascii="Symbol" w:hAnsi="Symbol" w:cs="Symbol" w:hint="default"/>
        <w:lang w:eastAsia="en-US" w:bidi="ar-SA"/>
      </w:rPr>
    </w:lvl>
    <w:lvl w:ilvl="2">
      <w:start w:val="1"/>
      <w:numFmt w:val="bullet"/>
      <w:lvlText w:val=""/>
      <w:lvlJc w:val="left"/>
      <w:pPr>
        <w:tabs>
          <w:tab w:val="num" w:pos="0"/>
        </w:tabs>
        <w:ind w:left="2269" w:hanging="118"/>
      </w:pPr>
      <w:rPr>
        <w:rFonts w:ascii="Symbol" w:hAnsi="Symbol" w:cs="Symbol" w:hint="default"/>
        <w:lang w:eastAsia="en-US" w:bidi="ar-SA"/>
      </w:rPr>
    </w:lvl>
    <w:lvl w:ilvl="3">
      <w:start w:val="1"/>
      <w:numFmt w:val="bullet"/>
      <w:lvlText w:val=""/>
      <w:lvlJc w:val="left"/>
      <w:pPr>
        <w:tabs>
          <w:tab w:val="num" w:pos="0"/>
        </w:tabs>
        <w:ind w:left="3273" w:hanging="118"/>
      </w:pPr>
      <w:rPr>
        <w:rFonts w:ascii="Symbol" w:hAnsi="Symbol" w:cs="Symbol" w:hint="default"/>
        <w:lang w:eastAsia="en-US" w:bidi="ar-SA"/>
      </w:rPr>
    </w:lvl>
    <w:lvl w:ilvl="4">
      <w:start w:val="1"/>
      <w:numFmt w:val="bullet"/>
      <w:lvlText w:val=""/>
      <w:lvlJc w:val="left"/>
      <w:pPr>
        <w:tabs>
          <w:tab w:val="num" w:pos="0"/>
        </w:tabs>
        <w:ind w:left="4278" w:hanging="118"/>
      </w:pPr>
      <w:rPr>
        <w:rFonts w:ascii="Symbol" w:hAnsi="Symbol" w:cs="Symbol" w:hint="default"/>
        <w:lang w:eastAsia="en-US" w:bidi="ar-SA"/>
      </w:rPr>
    </w:lvl>
    <w:lvl w:ilvl="5">
      <w:start w:val="1"/>
      <w:numFmt w:val="bullet"/>
      <w:lvlText w:val=""/>
      <w:lvlJc w:val="left"/>
      <w:pPr>
        <w:tabs>
          <w:tab w:val="num" w:pos="0"/>
        </w:tabs>
        <w:ind w:left="5283" w:hanging="118"/>
      </w:pPr>
      <w:rPr>
        <w:rFonts w:ascii="Symbol" w:hAnsi="Symbol" w:cs="Symbol" w:hint="default"/>
        <w:lang w:eastAsia="en-US" w:bidi="ar-SA"/>
      </w:rPr>
    </w:lvl>
    <w:lvl w:ilvl="6">
      <w:start w:val="1"/>
      <w:numFmt w:val="bullet"/>
      <w:lvlText w:val=""/>
      <w:lvlJc w:val="left"/>
      <w:pPr>
        <w:tabs>
          <w:tab w:val="num" w:pos="0"/>
        </w:tabs>
        <w:ind w:left="6287" w:hanging="118"/>
      </w:pPr>
      <w:rPr>
        <w:rFonts w:ascii="Symbol" w:hAnsi="Symbol" w:cs="Symbol" w:hint="default"/>
        <w:lang w:eastAsia="en-US" w:bidi="ar-SA"/>
      </w:rPr>
    </w:lvl>
    <w:lvl w:ilvl="7">
      <w:start w:val="1"/>
      <w:numFmt w:val="bullet"/>
      <w:lvlText w:val=""/>
      <w:lvlJc w:val="left"/>
      <w:pPr>
        <w:tabs>
          <w:tab w:val="num" w:pos="0"/>
        </w:tabs>
        <w:ind w:left="7292" w:hanging="118"/>
      </w:pPr>
      <w:rPr>
        <w:rFonts w:ascii="Symbol" w:hAnsi="Symbol" w:cs="Symbol" w:hint="default"/>
        <w:lang w:eastAsia="en-US" w:bidi="ar-SA"/>
      </w:rPr>
    </w:lvl>
    <w:lvl w:ilvl="8">
      <w:start w:val="1"/>
      <w:numFmt w:val="bullet"/>
      <w:lvlText w:val=""/>
      <w:lvlJc w:val="left"/>
      <w:pPr>
        <w:tabs>
          <w:tab w:val="num" w:pos="0"/>
        </w:tabs>
        <w:ind w:left="8297" w:hanging="118"/>
      </w:pPr>
      <w:rPr>
        <w:rFonts w:ascii="Symbol" w:hAnsi="Symbol" w:cs="Symbol" w:hint="default"/>
        <w:lang w:eastAsia="en-US" w:bidi="ar-SA"/>
      </w:rPr>
    </w:lvl>
  </w:abstractNum>
  <w:abstractNum w:abstractNumId="11" w15:restartNumberingAfterBreak="0">
    <w:nsid w:val="43A8563E"/>
    <w:multiLevelType w:val="hybridMultilevel"/>
    <w:tmpl w:val="E0E0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B0693"/>
    <w:multiLevelType w:val="hybridMultilevel"/>
    <w:tmpl w:val="5E7C212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D81861"/>
    <w:multiLevelType w:val="hybridMultilevel"/>
    <w:tmpl w:val="D89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A68EA"/>
    <w:multiLevelType w:val="hybridMultilevel"/>
    <w:tmpl w:val="5AC00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494ACE"/>
    <w:multiLevelType w:val="hybridMultilevel"/>
    <w:tmpl w:val="E7D43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17E6C"/>
    <w:multiLevelType w:val="hybridMultilevel"/>
    <w:tmpl w:val="A88EE770"/>
    <w:lvl w:ilvl="0" w:tplc="1BD4113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095103"/>
    <w:multiLevelType w:val="hybridMultilevel"/>
    <w:tmpl w:val="D91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7205E"/>
    <w:multiLevelType w:val="hybridMultilevel"/>
    <w:tmpl w:val="872890BA"/>
    <w:lvl w:ilvl="0" w:tplc="2F9CFF66">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92366">
    <w:abstractNumId w:val="10"/>
  </w:num>
  <w:num w:numId="2" w16cid:durableId="1006857781">
    <w:abstractNumId w:val="9"/>
  </w:num>
  <w:num w:numId="3" w16cid:durableId="834304275">
    <w:abstractNumId w:val="6"/>
  </w:num>
  <w:num w:numId="4" w16cid:durableId="251858713">
    <w:abstractNumId w:val="1"/>
  </w:num>
  <w:num w:numId="5" w16cid:durableId="1207452587">
    <w:abstractNumId w:val="2"/>
  </w:num>
  <w:num w:numId="6" w16cid:durableId="1060787535">
    <w:abstractNumId w:val="0"/>
  </w:num>
  <w:num w:numId="7" w16cid:durableId="563640242">
    <w:abstractNumId w:val="8"/>
  </w:num>
  <w:num w:numId="8" w16cid:durableId="2048531464">
    <w:abstractNumId w:val="17"/>
  </w:num>
  <w:num w:numId="9" w16cid:durableId="148399478">
    <w:abstractNumId w:val="14"/>
  </w:num>
  <w:num w:numId="10" w16cid:durableId="1821457698">
    <w:abstractNumId w:val="4"/>
  </w:num>
  <w:num w:numId="11" w16cid:durableId="1539507116">
    <w:abstractNumId w:val="19"/>
  </w:num>
  <w:num w:numId="12" w16cid:durableId="671446000">
    <w:abstractNumId w:val="5"/>
  </w:num>
  <w:num w:numId="13" w16cid:durableId="853769420">
    <w:abstractNumId w:val="13"/>
  </w:num>
  <w:num w:numId="14" w16cid:durableId="1551116053">
    <w:abstractNumId w:val="11"/>
  </w:num>
  <w:num w:numId="15" w16cid:durableId="1500345736">
    <w:abstractNumId w:val="16"/>
  </w:num>
  <w:num w:numId="16" w16cid:durableId="2065057689">
    <w:abstractNumId w:val="20"/>
  </w:num>
  <w:num w:numId="17" w16cid:durableId="768158281">
    <w:abstractNumId w:val="18"/>
  </w:num>
  <w:num w:numId="18" w16cid:durableId="1009285190">
    <w:abstractNumId w:val="3"/>
  </w:num>
  <w:num w:numId="19" w16cid:durableId="1358240581">
    <w:abstractNumId w:val="15"/>
  </w:num>
  <w:num w:numId="20" w16cid:durableId="1774354067">
    <w:abstractNumId w:val="7"/>
  </w:num>
  <w:num w:numId="21" w16cid:durableId="1667857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8F"/>
    <w:rsid w:val="000020FA"/>
    <w:rsid w:val="000070BA"/>
    <w:rsid w:val="0001692F"/>
    <w:rsid w:val="000173F9"/>
    <w:rsid w:val="00026F9A"/>
    <w:rsid w:val="000412A0"/>
    <w:rsid w:val="00041972"/>
    <w:rsid w:val="00047DDA"/>
    <w:rsid w:val="0005008F"/>
    <w:rsid w:val="0005077F"/>
    <w:rsid w:val="0005455A"/>
    <w:rsid w:val="00066424"/>
    <w:rsid w:val="00071F07"/>
    <w:rsid w:val="000723A8"/>
    <w:rsid w:val="0007759D"/>
    <w:rsid w:val="000777AB"/>
    <w:rsid w:val="00077F46"/>
    <w:rsid w:val="00090FB1"/>
    <w:rsid w:val="00096186"/>
    <w:rsid w:val="0009684A"/>
    <w:rsid w:val="000A00B8"/>
    <w:rsid w:val="000A2A39"/>
    <w:rsid w:val="000A72E4"/>
    <w:rsid w:val="000B0E2F"/>
    <w:rsid w:val="000B2430"/>
    <w:rsid w:val="000B7120"/>
    <w:rsid w:val="000B7503"/>
    <w:rsid w:val="000C0EA4"/>
    <w:rsid w:val="000C20DD"/>
    <w:rsid w:val="000C54D3"/>
    <w:rsid w:val="000D0B30"/>
    <w:rsid w:val="000D4998"/>
    <w:rsid w:val="000E21F1"/>
    <w:rsid w:val="000F703E"/>
    <w:rsid w:val="00110DD4"/>
    <w:rsid w:val="00120E86"/>
    <w:rsid w:val="00125DE9"/>
    <w:rsid w:val="00132117"/>
    <w:rsid w:val="001332E0"/>
    <w:rsid w:val="00134642"/>
    <w:rsid w:val="00134DE7"/>
    <w:rsid w:val="00142D30"/>
    <w:rsid w:val="00156DCE"/>
    <w:rsid w:val="00167640"/>
    <w:rsid w:val="00181577"/>
    <w:rsid w:val="00185354"/>
    <w:rsid w:val="001854DC"/>
    <w:rsid w:val="00186795"/>
    <w:rsid w:val="00194D09"/>
    <w:rsid w:val="00195FBD"/>
    <w:rsid w:val="001A7D5C"/>
    <w:rsid w:val="001B04AF"/>
    <w:rsid w:val="001B5633"/>
    <w:rsid w:val="001B60AA"/>
    <w:rsid w:val="001B63C8"/>
    <w:rsid w:val="001C1972"/>
    <w:rsid w:val="001C228F"/>
    <w:rsid w:val="001C421F"/>
    <w:rsid w:val="001D360D"/>
    <w:rsid w:val="001F4DC5"/>
    <w:rsid w:val="00226371"/>
    <w:rsid w:val="00231276"/>
    <w:rsid w:val="002519F0"/>
    <w:rsid w:val="00261A8D"/>
    <w:rsid w:val="00262870"/>
    <w:rsid w:val="00273561"/>
    <w:rsid w:val="00275958"/>
    <w:rsid w:val="002775A9"/>
    <w:rsid w:val="00281679"/>
    <w:rsid w:val="00283C1C"/>
    <w:rsid w:val="00290203"/>
    <w:rsid w:val="002916CD"/>
    <w:rsid w:val="00291A00"/>
    <w:rsid w:val="00291A11"/>
    <w:rsid w:val="002A315C"/>
    <w:rsid w:val="002A3342"/>
    <w:rsid w:val="002A64BA"/>
    <w:rsid w:val="002A7CF8"/>
    <w:rsid w:val="002B0554"/>
    <w:rsid w:val="002B120B"/>
    <w:rsid w:val="002B4989"/>
    <w:rsid w:val="002C2510"/>
    <w:rsid w:val="002D714E"/>
    <w:rsid w:val="002E53C3"/>
    <w:rsid w:val="002F1468"/>
    <w:rsid w:val="002F48A5"/>
    <w:rsid w:val="002F5F0C"/>
    <w:rsid w:val="00303A17"/>
    <w:rsid w:val="00321926"/>
    <w:rsid w:val="00325DEB"/>
    <w:rsid w:val="003265EB"/>
    <w:rsid w:val="0034329E"/>
    <w:rsid w:val="00343FAA"/>
    <w:rsid w:val="00345751"/>
    <w:rsid w:val="00347E13"/>
    <w:rsid w:val="00347F5E"/>
    <w:rsid w:val="00352816"/>
    <w:rsid w:val="00353C98"/>
    <w:rsid w:val="00364E83"/>
    <w:rsid w:val="00371A20"/>
    <w:rsid w:val="003821B4"/>
    <w:rsid w:val="00382CF3"/>
    <w:rsid w:val="003876D1"/>
    <w:rsid w:val="00387D52"/>
    <w:rsid w:val="0039287E"/>
    <w:rsid w:val="003974AE"/>
    <w:rsid w:val="003A2614"/>
    <w:rsid w:val="003A7CEA"/>
    <w:rsid w:val="003B0AD7"/>
    <w:rsid w:val="003B382D"/>
    <w:rsid w:val="003B6326"/>
    <w:rsid w:val="003D2FAF"/>
    <w:rsid w:val="003F0BD3"/>
    <w:rsid w:val="003F278A"/>
    <w:rsid w:val="003F7A02"/>
    <w:rsid w:val="00406B89"/>
    <w:rsid w:val="00422EA5"/>
    <w:rsid w:val="00422EFA"/>
    <w:rsid w:val="0042791F"/>
    <w:rsid w:val="004444CD"/>
    <w:rsid w:val="004456ED"/>
    <w:rsid w:val="0048045A"/>
    <w:rsid w:val="004841B8"/>
    <w:rsid w:val="00486E95"/>
    <w:rsid w:val="004930F2"/>
    <w:rsid w:val="00496ADB"/>
    <w:rsid w:val="004B0F1C"/>
    <w:rsid w:val="004B20BE"/>
    <w:rsid w:val="004C5946"/>
    <w:rsid w:val="004D1C2A"/>
    <w:rsid w:val="004E5DB0"/>
    <w:rsid w:val="004F2EE6"/>
    <w:rsid w:val="004F5F7E"/>
    <w:rsid w:val="004F6C57"/>
    <w:rsid w:val="00502DBA"/>
    <w:rsid w:val="005040C4"/>
    <w:rsid w:val="00507637"/>
    <w:rsid w:val="00507852"/>
    <w:rsid w:val="005129B1"/>
    <w:rsid w:val="00514DBF"/>
    <w:rsid w:val="005209EE"/>
    <w:rsid w:val="00530051"/>
    <w:rsid w:val="0053164F"/>
    <w:rsid w:val="00532BC1"/>
    <w:rsid w:val="0054314D"/>
    <w:rsid w:val="00550921"/>
    <w:rsid w:val="005618D4"/>
    <w:rsid w:val="00563712"/>
    <w:rsid w:val="00573631"/>
    <w:rsid w:val="00573645"/>
    <w:rsid w:val="00573C0B"/>
    <w:rsid w:val="00576CFA"/>
    <w:rsid w:val="005772EF"/>
    <w:rsid w:val="0058250D"/>
    <w:rsid w:val="0058556D"/>
    <w:rsid w:val="00592AF2"/>
    <w:rsid w:val="005947AD"/>
    <w:rsid w:val="00597748"/>
    <w:rsid w:val="005979E8"/>
    <w:rsid w:val="005A5AFB"/>
    <w:rsid w:val="005A7B41"/>
    <w:rsid w:val="005C4BFC"/>
    <w:rsid w:val="005D0AF4"/>
    <w:rsid w:val="005E54BD"/>
    <w:rsid w:val="005F03FD"/>
    <w:rsid w:val="005F2392"/>
    <w:rsid w:val="005F6CCA"/>
    <w:rsid w:val="005F6DAB"/>
    <w:rsid w:val="00602BE3"/>
    <w:rsid w:val="00604679"/>
    <w:rsid w:val="006104AF"/>
    <w:rsid w:val="00621893"/>
    <w:rsid w:val="006351E1"/>
    <w:rsid w:val="00642E1A"/>
    <w:rsid w:val="006447B1"/>
    <w:rsid w:val="00662775"/>
    <w:rsid w:val="006852FC"/>
    <w:rsid w:val="006965CF"/>
    <w:rsid w:val="006A7016"/>
    <w:rsid w:val="006B40AB"/>
    <w:rsid w:val="006B5DC5"/>
    <w:rsid w:val="006C4BFD"/>
    <w:rsid w:val="006C55E4"/>
    <w:rsid w:val="006C7D30"/>
    <w:rsid w:val="006E26CE"/>
    <w:rsid w:val="006E3C08"/>
    <w:rsid w:val="00700ACF"/>
    <w:rsid w:val="00705BDB"/>
    <w:rsid w:val="00706086"/>
    <w:rsid w:val="00712487"/>
    <w:rsid w:val="007444AF"/>
    <w:rsid w:val="007530CA"/>
    <w:rsid w:val="00756D68"/>
    <w:rsid w:val="007578D9"/>
    <w:rsid w:val="00757E8A"/>
    <w:rsid w:val="0076208D"/>
    <w:rsid w:val="00763E43"/>
    <w:rsid w:val="00763E97"/>
    <w:rsid w:val="00764C0B"/>
    <w:rsid w:val="00764EB5"/>
    <w:rsid w:val="00777A95"/>
    <w:rsid w:val="00782416"/>
    <w:rsid w:val="00782DFD"/>
    <w:rsid w:val="00787BE2"/>
    <w:rsid w:val="007A24EA"/>
    <w:rsid w:val="007A6A3A"/>
    <w:rsid w:val="007B0364"/>
    <w:rsid w:val="007B72CD"/>
    <w:rsid w:val="007C277A"/>
    <w:rsid w:val="007C2CB4"/>
    <w:rsid w:val="007C391C"/>
    <w:rsid w:val="007D0981"/>
    <w:rsid w:val="007D1929"/>
    <w:rsid w:val="00803CF1"/>
    <w:rsid w:val="008104BB"/>
    <w:rsid w:val="00816472"/>
    <w:rsid w:val="00817442"/>
    <w:rsid w:val="008249C5"/>
    <w:rsid w:val="00832D8C"/>
    <w:rsid w:val="00834386"/>
    <w:rsid w:val="00844E06"/>
    <w:rsid w:val="008526F9"/>
    <w:rsid w:val="0085285E"/>
    <w:rsid w:val="00853023"/>
    <w:rsid w:val="008534D4"/>
    <w:rsid w:val="00862D7D"/>
    <w:rsid w:val="008737D4"/>
    <w:rsid w:val="00881B26"/>
    <w:rsid w:val="00881D08"/>
    <w:rsid w:val="00881E28"/>
    <w:rsid w:val="0088690D"/>
    <w:rsid w:val="00891C22"/>
    <w:rsid w:val="00894C4B"/>
    <w:rsid w:val="00895A4D"/>
    <w:rsid w:val="00896648"/>
    <w:rsid w:val="008A12E3"/>
    <w:rsid w:val="008A41A7"/>
    <w:rsid w:val="008A42FA"/>
    <w:rsid w:val="008A68F3"/>
    <w:rsid w:val="008A7DB6"/>
    <w:rsid w:val="008B0AC7"/>
    <w:rsid w:val="008C2335"/>
    <w:rsid w:val="008C67C1"/>
    <w:rsid w:val="008D1D39"/>
    <w:rsid w:val="008E30CF"/>
    <w:rsid w:val="008F07D2"/>
    <w:rsid w:val="00904D39"/>
    <w:rsid w:val="0090508C"/>
    <w:rsid w:val="00911073"/>
    <w:rsid w:val="00913A7B"/>
    <w:rsid w:val="00917851"/>
    <w:rsid w:val="00917F42"/>
    <w:rsid w:val="00917F65"/>
    <w:rsid w:val="009311E7"/>
    <w:rsid w:val="00931699"/>
    <w:rsid w:val="00933E46"/>
    <w:rsid w:val="00934093"/>
    <w:rsid w:val="00934CD1"/>
    <w:rsid w:val="00935583"/>
    <w:rsid w:val="009357CB"/>
    <w:rsid w:val="00937AD1"/>
    <w:rsid w:val="0094118D"/>
    <w:rsid w:val="00942694"/>
    <w:rsid w:val="009629C8"/>
    <w:rsid w:val="00975BB1"/>
    <w:rsid w:val="00983CD1"/>
    <w:rsid w:val="0098497C"/>
    <w:rsid w:val="00985988"/>
    <w:rsid w:val="00995181"/>
    <w:rsid w:val="009A57FB"/>
    <w:rsid w:val="009A7E3A"/>
    <w:rsid w:val="009B1265"/>
    <w:rsid w:val="009B1EC6"/>
    <w:rsid w:val="009B4A15"/>
    <w:rsid w:val="009B5693"/>
    <w:rsid w:val="009C61A2"/>
    <w:rsid w:val="009C78E4"/>
    <w:rsid w:val="009D687E"/>
    <w:rsid w:val="009E3EC6"/>
    <w:rsid w:val="009F2E0D"/>
    <w:rsid w:val="009F6DE7"/>
    <w:rsid w:val="00A068E2"/>
    <w:rsid w:val="00A10583"/>
    <w:rsid w:val="00A13368"/>
    <w:rsid w:val="00A149BA"/>
    <w:rsid w:val="00A15146"/>
    <w:rsid w:val="00A23FC7"/>
    <w:rsid w:val="00A366C8"/>
    <w:rsid w:val="00A37FCB"/>
    <w:rsid w:val="00A40B01"/>
    <w:rsid w:val="00A44878"/>
    <w:rsid w:val="00A45A05"/>
    <w:rsid w:val="00A54863"/>
    <w:rsid w:val="00A61D74"/>
    <w:rsid w:val="00A80061"/>
    <w:rsid w:val="00A8688B"/>
    <w:rsid w:val="00A91163"/>
    <w:rsid w:val="00A9286F"/>
    <w:rsid w:val="00A9556E"/>
    <w:rsid w:val="00A96255"/>
    <w:rsid w:val="00AB285B"/>
    <w:rsid w:val="00AB40A7"/>
    <w:rsid w:val="00AC62E9"/>
    <w:rsid w:val="00AC6355"/>
    <w:rsid w:val="00AD338C"/>
    <w:rsid w:val="00AD4AC8"/>
    <w:rsid w:val="00AE1571"/>
    <w:rsid w:val="00AF5552"/>
    <w:rsid w:val="00AF5CB4"/>
    <w:rsid w:val="00AF5ED1"/>
    <w:rsid w:val="00AF71D6"/>
    <w:rsid w:val="00B02A39"/>
    <w:rsid w:val="00B216EE"/>
    <w:rsid w:val="00B21E23"/>
    <w:rsid w:val="00B261CB"/>
    <w:rsid w:val="00B3175F"/>
    <w:rsid w:val="00B31E2C"/>
    <w:rsid w:val="00B329B0"/>
    <w:rsid w:val="00B402D8"/>
    <w:rsid w:val="00B4237C"/>
    <w:rsid w:val="00B42FE8"/>
    <w:rsid w:val="00B52AFD"/>
    <w:rsid w:val="00B54077"/>
    <w:rsid w:val="00B62B81"/>
    <w:rsid w:val="00B6393A"/>
    <w:rsid w:val="00B66945"/>
    <w:rsid w:val="00B70C29"/>
    <w:rsid w:val="00B7384B"/>
    <w:rsid w:val="00B8087E"/>
    <w:rsid w:val="00B80E70"/>
    <w:rsid w:val="00B87874"/>
    <w:rsid w:val="00BA20DB"/>
    <w:rsid w:val="00BA48F5"/>
    <w:rsid w:val="00BA6849"/>
    <w:rsid w:val="00BB3653"/>
    <w:rsid w:val="00BB646E"/>
    <w:rsid w:val="00BB7DBA"/>
    <w:rsid w:val="00BC618F"/>
    <w:rsid w:val="00BD1BA1"/>
    <w:rsid w:val="00BD3DCD"/>
    <w:rsid w:val="00BF3451"/>
    <w:rsid w:val="00BF5B94"/>
    <w:rsid w:val="00BF7068"/>
    <w:rsid w:val="00C019E5"/>
    <w:rsid w:val="00C27DCB"/>
    <w:rsid w:val="00C35BC4"/>
    <w:rsid w:val="00C37A5F"/>
    <w:rsid w:val="00C43F5B"/>
    <w:rsid w:val="00C94A6D"/>
    <w:rsid w:val="00C97816"/>
    <w:rsid w:val="00CA2FE1"/>
    <w:rsid w:val="00CB29D7"/>
    <w:rsid w:val="00CB36D2"/>
    <w:rsid w:val="00CB4371"/>
    <w:rsid w:val="00CB7FE4"/>
    <w:rsid w:val="00CC516D"/>
    <w:rsid w:val="00CD3AC7"/>
    <w:rsid w:val="00CE6AD6"/>
    <w:rsid w:val="00CE77C8"/>
    <w:rsid w:val="00D01E21"/>
    <w:rsid w:val="00D16294"/>
    <w:rsid w:val="00D24330"/>
    <w:rsid w:val="00D40056"/>
    <w:rsid w:val="00D44A3D"/>
    <w:rsid w:val="00D46FF9"/>
    <w:rsid w:val="00D51E7C"/>
    <w:rsid w:val="00D54F29"/>
    <w:rsid w:val="00D60B76"/>
    <w:rsid w:val="00D7020C"/>
    <w:rsid w:val="00D70AD9"/>
    <w:rsid w:val="00D72152"/>
    <w:rsid w:val="00D75EF8"/>
    <w:rsid w:val="00D763A5"/>
    <w:rsid w:val="00D9392A"/>
    <w:rsid w:val="00D93FA1"/>
    <w:rsid w:val="00D94BA5"/>
    <w:rsid w:val="00D9510F"/>
    <w:rsid w:val="00D9645C"/>
    <w:rsid w:val="00DA20DC"/>
    <w:rsid w:val="00DA2586"/>
    <w:rsid w:val="00DA615C"/>
    <w:rsid w:val="00DB27F3"/>
    <w:rsid w:val="00DC5A64"/>
    <w:rsid w:val="00DD1BC6"/>
    <w:rsid w:val="00DD25C5"/>
    <w:rsid w:val="00DD61AF"/>
    <w:rsid w:val="00DE13A2"/>
    <w:rsid w:val="00DE5DC3"/>
    <w:rsid w:val="00DF283E"/>
    <w:rsid w:val="00DF5B9C"/>
    <w:rsid w:val="00DF772E"/>
    <w:rsid w:val="00E00D8A"/>
    <w:rsid w:val="00E1050F"/>
    <w:rsid w:val="00E11604"/>
    <w:rsid w:val="00E11D92"/>
    <w:rsid w:val="00E130A0"/>
    <w:rsid w:val="00E210C4"/>
    <w:rsid w:val="00E23DB7"/>
    <w:rsid w:val="00E26D51"/>
    <w:rsid w:val="00E3569C"/>
    <w:rsid w:val="00E46D96"/>
    <w:rsid w:val="00E52CCA"/>
    <w:rsid w:val="00E659BE"/>
    <w:rsid w:val="00E66409"/>
    <w:rsid w:val="00E76065"/>
    <w:rsid w:val="00E81469"/>
    <w:rsid w:val="00E81D5B"/>
    <w:rsid w:val="00E84B65"/>
    <w:rsid w:val="00E95D67"/>
    <w:rsid w:val="00E976B9"/>
    <w:rsid w:val="00EA05D3"/>
    <w:rsid w:val="00EA2EFB"/>
    <w:rsid w:val="00EB19AD"/>
    <w:rsid w:val="00EB2F31"/>
    <w:rsid w:val="00EB4E47"/>
    <w:rsid w:val="00EB6493"/>
    <w:rsid w:val="00EC1058"/>
    <w:rsid w:val="00EC1564"/>
    <w:rsid w:val="00EC2915"/>
    <w:rsid w:val="00ED05A9"/>
    <w:rsid w:val="00ED1BA0"/>
    <w:rsid w:val="00ED4D9F"/>
    <w:rsid w:val="00EE7CC3"/>
    <w:rsid w:val="00EF2A18"/>
    <w:rsid w:val="00EF3E2E"/>
    <w:rsid w:val="00EF712E"/>
    <w:rsid w:val="00F125E7"/>
    <w:rsid w:val="00F17257"/>
    <w:rsid w:val="00F23802"/>
    <w:rsid w:val="00F34D24"/>
    <w:rsid w:val="00F35D67"/>
    <w:rsid w:val="00F4130B"/>
    <w:rsid w:val="00F53748"/>
    <w:rsid w:val="00F54B0A"/>
    <w:rsid w:val="00F556A2"/>
    <w:rsid w:val="00F5611D"/>
    <w:rsid w:val="00F719A8"/>
    <w:rsid w:val="00F878B9"/>
    <w:rsid w:val="00FA04CD"/>
    <w:rsid w:val="00FB24E8"/>
    <w:rsid w:val="00FB3B2B"/>
    <w:rsid w:val="00FB6CD9"/>
    <w:rsid w:val="00FB73FF"/>
    <w:rsid w:val="00FC18DA"/>
    <w:rsid w:val="00FC3917"/>
    <w:rsid w:val="00FD038C"/>
    <w:rsid w:val="00FD0E12"/>
    <w:rsid w:val="00FD60DA"/>
    <w:rsid w:val="00FF07B4"/>
    <w:rsid w:val="31EF6AD4"/>
    <w:rsid w:val="4DABE7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78B5"/>
  <w15:docId w15:val="{7D2EE452-DF13-4CCA-84C4-964BBC1A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Noto Sans Arabic U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16"/>
    <w:pPr>
      <w:suppressAutoHyphens w:val="0"/>
      <w:spacing w:after="200" w:line="276" w:lineRule="auto"/>
    </w:pPr>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uiPriority w:val="9"/>
    <w:unhideWhenUsed/>
    <w:qFormat/>
    <w:pPr>
      <w:ind w:left="140" w:hanging="45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rPr>
      <w:color w:val="000080"/>
      <w:u w:val="single"/>
    </w:rPr>
  </w:style>
  <w:style w:type="character" w:customStyle="1" w:styleId="Numeracinderenglones">
    <w:name w:val="Numeración de renglones"/>
  </w:style>
  <w:style w:type="paragraph" w:customStyle="1" w:styleId="Ttulo1">
    <w:name w:val="Título1"/>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Pr>
      <w:sz w:val="21"/>
      <w:szCs w:val="21"/>
    </w:r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customStyle="1" w:styleId="ndice">
    <w:name w:val="Índice"/>
    <w:basedOn w:val="Normal"/>
    <w:qFormat/>
    <w:pPr>
      <w:suppressLineNumbers/>
    </w:pPr>
    <w:rPr>
      <w:rFonts w:ascii="Arial" w:hAnsi="Arial" w:cs="Lohit Devanagari"/>
    </w:rPr>
  </w:style>
  <w:style w:type="paragraph" w:styleId="Title">
    <w:name w:val="Title"/>
    <w:basedOn w:val="Normal"/>
    <w:uiPriority w:val="10"/>
    <w:qFormat/>
    <w:pPr>
      <w:spacing w:before="65"/>
      <w:ind w:left="2299" w:right="3294"/>
      <w:jc w:val="center"/>
    </w:pPr>
    <w:rPr>
      <w:sz w:val="36"/>
      <w:szCs w:val="36"/>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
    <w:basedOn w:val="Normal"/>
    <w:link w:val="ListParagraphChar"/>
    <w:uiPriority w:val="34"/>
    <w:qFormat/>
    <w:rsid w:val="00A61D74"/>
    <w:pPr>
      <w:ind w:left="720"/>
      <w:contextualSpacing/>
    </w:pPr>
  </w:style>
  <w:style w:type="paragraph" w:customStyle="1" w:styleId="TableParagraph">
    <w:name w:val="Table Paragraph"/>
    <w:basedOn w:val="Normal"/>
    <w:qFormat/>
    <w:pPr>
      <w:spacing w:before="1" w:line="234" w:lineRule="exact"/>
      <w:ind w:left="108"/>
    </w:pPr>
  </w:style>
  <w:style w:type="paragraph" w:customStyle="1" w:styleId="Cabeceraypie">
    <w:name w:val="Cabecera y pie"/>
    <w:basedOn w:val="Normal"/>
    <w:qFormat/>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styleId="CommentText">
    <w:name w:val="annotation text"/>
    <w:basedOn w:val="Normal"/>
    <w:link w:val="CommentTextChar"/>
    <w:uiPriority w:val="99"/>
    <w:unhideWhenUsed/>
    <w:rsid w:val="006A7016"/>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4"/>
    <w:rPr>
      <w:rFonts w:ascii="Tahoma" w:eastAsiaTheme="minorEastAsia"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352816"/>
    <w:rPr>
      <w:b/>
      <w:bCs/>
    </w:rPr>
  </w:style>
  <w:style w:type="character" w:customStyle="1" w:styleId="CommentSubjectChar">
    <w:name w:val="Comment Subject Char"/>
    <w:basedOn w:val="CommentTextChar"/>
    <w:link w:val="CommentSubject"/>
    <w:uiPriority w:val="99"/>
    <w:semiHidden/>
    <w:rsid w:val="00352816"/>
    <w:rPr>
      <w:rFonts w:asciiTheme="minorHAnsi" w:eastAsiaTheme="minorEastAsia" w:hAnsiTheme="minorHAnsi" w:cs="Calibri"/>
      <w:b/>
      <w:bCs/>
      <w:sz w:val="20"/>
      <w:szCs w:val="20"/>
      <w:lang w:eastAsia="zh-CN"/>
    </w:rPr>
  </w:style>
  <w:style w:type="paragraph" w:styleId="NoSpacing">
    <w:name w:val="No Spacing"/>
    <w:uiPriority w:val="1"/>
    <w:qFormat/>
    <w:rsid w:val="00352816"/>
    <w:pPr>
      <w:widowControl w:val="0"/>
      <w:overflowPunct w:val="0"/>
    </w:pPr>
    <w:rPr>
      <w:rFonts w:cs="Calibri"/>
    </w:rPr>
  </w:style>
  <w:style w:type="character" w:customStyle="1" w:styleId="Heading1Char">
    <w:name w:val="Heading 1 Char"/>
    <w:basedOn w:val="DefaultParagraphFont"/>
    <w:link w:val="Heading1"/>
    <w:uiPriority w:val="9"/>
    <w:rsid w:val="00985988"/>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985988"/>
    <w:rPr>
      <w:color w:val="0563C1" w:themeColor="hyperlink"/>
      <w:u w:val="single"/>
    </w:rPr>
  </w:style>
  <w:style w:type="character" w:customStyle="1" w:styleId="HeaderChar">
    <w:name w:val="Header Char"/>
    <w:basedOn w:val="DefaultParagraphFont"/>
    <w:link w:val="Header"/>
    <w:uiPriority w:val="99"/>
    <w:rsid w:val="00985988"/>
    <w:rPr>
      <w:rFonts w:asciiTheme="minorHAnsi" w:eastAsiaTheme="minorEastAsia" w:hAnsiTheme="minorHAnsi" w:cstheme="minorBidi"/>
      <w:lang w:eastAsia="zh-CN"/>
    </w:r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88"/>
    <w:rPr>
      <w:rFonts w:asciiTheme="minorHAnsi" w:eastAsiaTheme="minorEastAsia" w:hAnsiTheme="minorHAnsi" w:cstheme="minorBidi"/>
      <w:lang w:eastAsia="zh-CN"/>
    </w:rPr>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985988"/>
    <w:rPr>
      <w:rFonts w:asciiTheme="minorHAnsi" w:eastAsia="Times New Roman" w:hAnsiTheme="minorHAnsi"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985988"/>
    <w:rPr>
      <w:rFonts w:asciiTheme="minorHAnsi" w:eastAsia="Times New Roman" w:hAnsiTheme="minorHAnsi"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985988"/>
    <w:rPr>
      <w:rFonts w:asciiTheme="minorHAnsi" w:eastAsia="Times New Roman" w:hAnsiTheme="minorHAnsi"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985988"/>
    <w:rPr>
      <w:rFonts w:asciiTheme="minorHAnsi" w:eastAsia="Times New Roman" w:hAnsiTheme="minorHAnsi"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985988"/>
    <w:rPr>
      <w:rFonts w:asciiTheme="minorHAnsi" w:eastAsia="Times New Roman" w:hAnsiTheme="minorHAnsi"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985988"/>
    <w:rPr>
      <w:color w:val="808080"/>
      <w:shd w:val="clear" w:color="auto" w:fill="E6E6E6"/>
    </w:rPr>
  </w:style>
  <w:style w:type="character" w:styleId="PlaceholderText">
    <w:name w:val="Placeholder Text"/>
    <w:basedOn w:val="DefaultParagraphFont"/>
    <w:uiPriority w:val="99"/>
    <w:semiHidden/>
    <w:rsid w:val="00985988"/>
    <w:rPr>
      <w:color w:val="808080"/>
    </w:rPr>
  </w:style>
  <w:style w:type="table" w:styleId="TableGrid">
    <w:name w:val="Table Grid"/>
    <w:basedOn w:val="TableNormal"/>
    <w:uiPriority w:val="59"/>
    <w:rsid w:val="00985988"/>
    <w:pPr>
      <w:suppressAutoHyphens w:val="0"/>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985988"/>
    <w:rPr>
      <w:rFonts w:asciiTheme="minorHAnsi" w:eastAsiaTheme="minorHAnsi" w:hAnsiTheme="minorHAnsi" w:cstheme="minorBidi"/>
      <w:sz w:val="20"/>
      <w:szCs w:val="20"/>
      <w:lang w:val="en-US"/>
    </w:rPr>
  </w:style>
  <w:style w:type="paragraph" w:customStyle="1" w:styleId="MHeader2">
    <w:name w:val="M.Header2"/>
    <w:basedOn w:val="MHeader"/>
    <w:link w:val="MHeader2Char"/>
    <w:qFormat/>
    <w:rsid w:val="00985988"/>
    <w:pPr>
      <w:spacing w:after="100" w:line="240" w:lineRule="auto"/>
    </w:pPr>
    <w:rPr>
      <w:sz w:val="26"/>
    </w:rPr>
  </w:style>
  <w:style w:type="paragraph" w:customStyle="1" w:styleId="MIndHeader2">
    <w:name w:val="M.Ind.Header2"/>
    <w:basedOn w:val="MIndHeader"/>
    <w:link w:val="MIndHeader2Char"/>
    <w:qFormat/>
    <w:rsid w:val="00985988"/>
    <w:rPr>
      <w:sz w:val="32"/>
    </w:rPr>
  </w:style>
  <w:style w:type="character" w:customStyle="1" w:styleId="MHeader2Char">
    <w:name w:val="M.Header2 Char"/>
    <w:basedOn w:val="MHeaderChar"/>
    <w:link w:val="MHeader2"/>
    <w:rsid w:val="00985988"/>
    <w:rPr>
      <w:rFonts w:asciiTheme="minorHAnsi" w:eastAsia="Times New Roman" w:hAnsiTheme="minorHAnsi"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985988"/>
    <w:rPr>
      <w:rFonts w:asciiTheme="minorHAnsi" w:eastAsia="Times New Roman" w:hAnsiTheme="minorHAnsi" w:cs="Times New Roman"/>
      <w:color w:val="1C75BC"/>
      <w:sz w:val="32"/>
      <w:shd w:val="clear" w:color="auto" w:fill="F5F5F5"/>
      <w:lang w:eastAsia="en-GB"/>
    </w:rPr>
  </w:style>
  <w:style w:type="paragraph" w:styleId="FootnoteText">
    <w:name w:val="footnote text"/>
    <w:aliases w:val="5_G"/>
    <w:basedOn w:val="Normal"/>
    <w:link w:val="FootnoteTextChar"/>
    <w:uiPriority w:val="99"/>
    <w:unhideWhenUsed/>
    <w:rsid w:val="00C97816"/>
    <w:pPr>
      <w:spacing w:after="0" w:line="240" w:lineRule="auto"/>
    </w:pPr>
    <w:rPr>
      <w:rFonts w:ascii="Calibri" w:eastAsia="Calibri" w:hAnsi="Calibri" w:cs="Calibri"/>
      <w:sz w:val="20"/>
      <w:szCs w:val="20"/>
      <w:lang w:val="en-US" w:eastAsia="en-US"/>
    </w:rPr>
  </w:style>
  <w:style w:type="character" w:customStyle="1" w:styleId="FootnoteTextChar">
    <w:name w:val="Footnote Text Char"/>
    <w:aliases w:val="5_G Char"/>
    <w:basedOn w:val="DefaultParagraphFont"/>
    <w:link w:val="FootnoteText"/>
    <w:uiPriority w:val="99"/>
    <w:rsid w:val="00985988"/>
    <w:rPr>
      <w:rFonts w:cs="Calibri"/>
      <w:sz w:val="20"/>
      <w:szCs w:val="20"/>
      <w:lang w:val="en-US"/>
    </w:rPr>
  </w:style>
  <w:style w:type="character" w:styleId="FootnoteReference">
    <w:name w:val="footnote reference"/>
    <w:aliases w:val="4_G"/>
    <w:basedOn w:val="DefaultParagraphFont"/>
    <w:uiPriority w:val="99"/>
    <w:unhideWhenUsed/>
    <w:rsid w:val="00985988"/>
    <w:rPr>
      <w:vertAlign w:val="superscript"/>
    </w:rPr>
  </w:style>
  <w:style w:type="paragraph" w:customStyle="1" w:styleId="Default">
    <w:name w:val="Default"/>
    <w:rsid w:val="006A7016"/>
    <w:pPr>
      <w:suppressAutoHyphens w:val="0"/>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985988"/>
    <w:rPr>
      <w:rFonts w:asciiTheme="minorHAnsi" w:eastAsiaTheme="minorEastAsia" w:hAnsiTheme="minorHAnsi" w:cstheme="minorBidi"/>
      <w:lang w:eastAsia="zh-CN"/>
    </w:rPr>
  </w:style>
  <w:style w:type="paragraph" w:styleId="Revision">
    <w:name w:val="Revision"/>
    <w:hidden/>
    <w:uiPriority w:val="99"/>
    <w:semiHidden/>
    <w:rsid w:val="006A7016"/>
    <w:pPr>
      <w:suppressAutoHyphens w:val="0"/>
    </w:pPr>
    <w:rPr>
      <w:rFonts w:asciiTheme="minorHAnsi" w:eastAsiaTheme="minorEastAsia" w:hAnsiTheme="minorHAnsi" w:cstheme="minorBidi"/>
      <w:lang w:eastAsia="zh-CN"/>
    </w:rPr>
  </w:style>
  <w:style w:type="character" w:customStyle="1" w:styleId="ui-provider">
    <w:name w:val="ui-provider"/>
    <w:basedOn w:val="DefaultParagraphFont"/>
    <w:rsid w:val="005A7B41"/>
  </w:style>
  <w:style w:type="character" w:styleId="FollowedHyperlink">
    <w:name w:val="FollowedHyperlink"/>
    <w:basedOn w:val="DefaultParagraphFont"/>
    <w:uiPriority w:val="99"/>
    <w:semiHidden/>
    <w:unhideWhenUsed/>
    <w:rsid w:val="00881B26"/>
    <w:rPr>
      <w:color w:val="954F72" w:themeColor="followedHyperlink"/>
      <w:u w:val="single"/>
    </w:rPr>
  </w:style>
  <w:style w:type="paragraph" w:styleId="NormalWeb">
    <w:name w:val="Normal (Web)"/>
    <w:basedOn w:val="Normal"/>
    <w:uiPriority w:val="99"/>
    <w:semiHidden/>
    <w:unhideWhenUsed/>
    <w:rsid w:val="009A57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4167">
      <w:bodyDiv w:val="1"/>
      <w:marLeft w:val="0"/>
      <w:marRight w:val="0"/>
      <w:marTop w:val="0"/>
      <w:marBottom w:val="0"/>
      <w:divBdr>
        <w:top w:val="none" w:sz="0" w:space="0" w:color="auto"/>
        <w:left w:val="none" w:sz="0" w:space="0" w:color="auto"/>
        <w:bottom w:val="none" w:sz="0" w:space="0" w:color="auto"/>
        <w:right w:val="none" w:sz="0" w:space="0" w:color="auto"/>
      </w:divBdr>
    </w:div>
    <w:div w:id="103962095">
      <w:bodyDiv w:val="1"/>
      <w:marLeft w:val="0"/>
      <w:marRight w:val="0"/>
      <w:marTop w:val="0"/>
      <w:marBottom w:val="0"/>
      <w:divBdr>
        <w:top w:val="none" w:sz="0" w:space="0" w:color="auto"/>
        <w:left w:val="none" w:sz="0" w:space="0" w:color="auto"/>
        <w:bottom w:val="none" w:sz="0" w:space="0" w:color="auto"/>
        <w:right w:val="none" w:sz="0" w:space="0" w:color="auto"/>
      </w:divBdr>
    </w:div>
    <w:div w:id="105393555">
      <w:bodyDiv w:val="1"/>
      <w:marLeft w:val="0"/>
      <w:marRight w:val="0"/>
      <w:marTop w:val="0"/>
      <w:marBottom w:val="0"/>
      <w:divBdr>
        <w:top w:val="none" w:sz="0" w:space="0" w:color="auto"/>
        <w:left w:val="none" w:sz="0" w:space="0" w:color="auto"/>
        <w:bottom w:val="none" w:sz="0" w:space="0" w:color="auto"/>
        <w:right w:val="none" w:sz="0" w:space="0" w:color="auto"/>
      </w:divBdr>
    </w:div>
    <w:div w:id="133258753">
      <w:bodyDiv w:val="1"/>
      <w:marLeft w:val="0"/>
      <w:marRight w:val="0"/>
      <w:marTop w:val="0"/>
      <w:marBottom w:val="0"/>
      <w:divBdr>
        <w:top w:val="none" w:sz="0" w:space="0" w:color="auto"/>
        <w:left w:val="none" w:sz="0" w:space="0" w:color="auto"/>
        <w:bottom w:val="none" w:sz="0" w:space="0" w:color="auto"/>
        <w:right w:val="none" w:sz="0" w:space="0" w:color="auto"/>
      </w:divBdr>
    </w:div>
    <w:div w:id="228883041">
      <w:bodyDiv w:val="1"/>
      <w:marLeft w:val="0"/>
      <w:marRight w:val="0"/>
      <w:marTop w:val="0"/>
      <w:marBottom w:val="0"/>
      <w:divBdr>
        <w:top w:val="none" w:sz="0" w:space="0" w:color="auto"/>
        <w:left w:val="none" w:sz="0" w:space="0" w:color="auto"/>
        <w:bottom w:val="none" w:sz="0" w:space="0" w:color="auto"/>
        <w:right w:val="none" w:sz="0" w:space="0" w:color="auto"/>
      </w:divBdr>
    </w:div>
    <w:div w:id="241529730">
      <w:bodyDiv w:val="1"/>
      <w:marLeft w:val="0"/>
      <w:marRight w:val="0"/>
      <w:marTop w:val="0"/>
      <w:marBottom w:val="0"/>
      <w:divBdr>
        <w:top w:val="none" w:sz="0" w:space="0" w:color="auto"/>
        <w:left w:val="none" w:sz="0" w:space="0" w:color="auto"/>
        <w:bottom w:val="none" w:sz="0" w:space="0" w:color="auto"/>
        <w:right w:val="none" w:sz="0" w:space="0" w:color="auto"/>
      </w:divBdr>
    </w:div>
    <w:div w:id="309940904">
      <w:bodyDiv w:val="1"/>
      <w:marLeft w:val="0"/>
      <w:marRight w:val="0"/>
      <w:marTop w:val="0"/>
      <w:marBottom w:val="0"/>
      <w:divBdr>
        <w:top w:val="none" w:sz="0" w:space="0" w:color="auto"/>
        <w:left w:val="none" w:sz="0" w:space="0" w:color="auto"/>
        <w:bottom w:val="none" w:sz="0" w:space="0" w:color="auto"/>
        <w:right w:val="none" w:sz="0" w:space="0" w:color="auto"/>
      </w:divBdr>
    </w:div>
    <w:div w:id="523638005">
      <w:bodyDiv w:val="1"/>
      <w:marLeft w:val="0"/>
      <w:marRight w:val="0"/>
      <w:marTop w:val="0"/>
      <w:marBottom w:val="0"/>
      <w:divBdr>
        <w:top w:val="none" w:sz="0" w:space="0" w:color="auto"/>
        <w:left w:val="none" w:sz="0" w:space="0" w:color="auto"/>
        <w:bottom w:val="none" w:sz="0" w:space="0" w:color="auto"/>
        <w:right w:val="none" w:sz="0" w:space="0" w:color="auto"/>
      </w:divBdr>
    </w:div>
    <w:div w:id="523833255">
      <w:bodyDiv w:val="1"/>
      <w:marLeft w:val="0"/>
      <w:marRight w:val="0"/>
      <w:marTop w:val="0"/>
      <w:marBottom w:val="0"/>
      <w:divBdr>
        <w:top w:val="none" w:sz="0" w:space="0" w:color="auto"/>
        <w:left w:val="none" w:sz="0" w:space="0" w:color="auto"/>
        <w:bottom w:val="none" w:sz="0" w:space="0" w:color="auto"/>
        <w:right w:val="none" w:sz="0" w:space="0" w:color="auto"/>
      </w:divBdr>
    </w:div>
    <w:div w:id="534538930">
      <w:bodyDiv w:val="1"/>
      <w:marLeft w:val="0"/>
      <w:marRight w:val="0"/>
      <w:marTop w:val="0"/>
      <w:marBottom w:val="0"/>
      <w:divBdr>
        <w:top w:val="none" w:sz="0" w:space="0" w:color="auto"/>
        <w:left w:val="none" w:sz="0" w:space="0" w:color="auto"/>
        <w:bottom w:val="none" w:sz="0" w:space="0" w:color="auto"/>
        <w:right w:val="none" w:sz="0" w:space="0" w:color="auto"/>
      </w:divBdr>
    </w:div>
    <w:div w:id="694841830">
      <w:bodyDiv w:val="1"/>
      <w:marLeft w:val="0"/>
      <w:marRight w:val="0"/>
      <w:marTop w:val="0"/>
      <w:marBottom w:val="0"/>
      <w:divBdr>
        <w:top w:val="none" w:sz="0" w:space="0" w:color="auto"/>
        <w:left w:val="none" w:sz="0" w:space="0" w:color="auto"/>
        <w:bottom w:val="none" w:sz="0" w:space="0" w:color="auto"/>
        <w:right w:val="none" w:sz="0" w:space="0" w:color="auto"/>
      </w:divBdr>
    </w:div>
    <w:div w:id="725876982">
      <w:bodyDiv w:val="1"/>
      <w:marLeft w:val="0"/>
      <w:marRight w:val="0"/>
      <w:marTop w:val="0"/>
      <w:marBottom w:val="0"/>
      <w:divBdr>
        <w:top w:val="none" w:sz="0" w:space="0" w:color="auto"/>
        <w:left w:val="none" w:sz="0" w:space="0" w:color="auto"/>
        <w:bottom w:val="none" w:sz="0" w:space="0" w:color="auto"/>
        <w:right w:val="none" w:sz="0" w:space="0" w:color="auto"/>
      </w:divBdr>
    </w:div>
    <w:div w:id="970861186">
      <w:bodyDiv w:val="1"/>
      <w:marLeft w:val="0"/>
      <w:marRight w:val="0"/>
      <w:marTop w:val="0"/>
      <w:marBottom w:val="0"/>
      <w:divBdr>
        <w:top w:val="none" w:sz="0" w:space="0" w:color="auto"/>
        <w:left w:val="none" w:sz="0" w:space="0" w:color="auto"/>
        <w:bottom w:val="none" w:sz="0" w:space="0" w:color="auto"/>
        <w:right w:val="none" w:sz="0" w:space="0" w:color="auto"/>
      </w:divBdr>
    </w:div>
    <w:div w:id="994532032">
      <w:bodyDiv w:val="1"/>
      <w:marLeft w:val="0"/>
      <w:marRight w:val="0"/>
      <w:marTop w:val="0"/>
      <w:marBottom w:val="0"/>
      <w:divBdr>
        <w:top w:val="none" w:sz="0" w:space="0" w:color="auto"/>
        <w:left w:val="none" w:sz="0" w:space="0" w:color="auto"/>
        <w:bottom w:val="none" w:sz="0" w:space="0" w:color="auto"/>
        <w:right w:val="none" w:sz="0" w:space="0" w:color="auto"/>
      </w:divBdr>
    </w:div>
    <w:div w:id="103966752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3492955">
      <w:bodyDiv w:val="1"/>
      <w:marLeft w:val="0"/>
      <w:marRight w:val="0"/>
      <w:marTop w:val="0"/>
      <w:marBottom w:val="0"/>
      <w:divBdr>
        <w:top w:val="none" w:sz="0" w:space="0" w:color="auto"/>
        <w:left w:val="none" w:sz="0" w:space="0" w:color="auto"/>
        <w:bottom w:val="none" w:sz="0" w:space="0" w:color="auto"/>
        <w:right w:val="none" w:sz="0" w:space="0" w:color="auto"/>
      </w:divBdr>
    </w:div>
    <w:div w:id="1298221584">
      <w:bodyDiv w:val="1"/>
      <w:marLeft w:val="0"/>
      <w:marRight w:val="0"/>
      <w:marTop w:val="0"/>
      <w:marBottom w:val="0"/>
      <w:divBdr>
        <w:top w:val="none" w:sz="0" w:space="0" w:color="auto"/>
        <w:left w:val="none" w:sz="0" w:space="0" w:color="auto"/>
        <w:bottom w:val="none" w:sz="0" w:space="0" w:color="auto"/>
        <w:right w:val="none" w:sz="0" w:space="0" w:color="auto"/>
      </w:divBdr>
    </w:div>
    <w:div w:id="1408071609">
      <w:bodyDiv w:val="1"/>
      <w:marLeft w:val="0"/>
      <w:marRight w:val="0"/>
      <w:marTop w:val="0"/>
      <w:marBottom w:val="0"/>
      <w:divBdr>
        <w:top w:val="none" w:sz="0" w:space="0" w:color="auto"/>
        <w:left w:val="none" w:sz="0" w:space="0" w:color="auto"/>
        <w:bottom w:val="none" w:sz="0" w:space="0" w:color="auto"/>
        <w:right w:val="none" w:sz="0" w:space="0" w:color="auto"/>
      </w:divBdr>
    </w:div>
    <w:div w:id="1507552468">
      <w:bodyDiv w:val="1"/>
      <w:marLeft w:val="0"/>
      <w:marRight w:val="0"/>
      <w:marTop w:val="0"/>
      <w:marBottom w:val="0"/>
      <w:divBdr>
        <w:top w:val="none" w:sz="0" w:space="0" w:color="auto"/>
        <w:left w:val="none" w:sz="0" w:space="0" w:color="auto"/>
        <w:bottom w:val="none" w:sz="0" w:space="0" w:color="auto"/>
        <w:right w:val="none" w:sz="0" w:space="0" w:color="auto"/>
      </w:divBdr>
    </w:div>
    <w:div w:id="1520578347">
      <w:bodyDiv w:val="1"/>
      <w:marLeft w:val="0"/>
      <w:marRight w:val="0"/>
      <w:marTop w:val="0"/>
      <w:marBottom w:val="0"/>
      <w:divBdr>
        <w:top w:val="none" w:sz="0" w:space="0" w:color="auto"/>
        <w:left w:val="none" w:sz="0" w:space="0" w:color="auto"/>
        <w:bottom w:val="none" w:sz="0" w:space="0" w:color="auto"/>
        <w:right w:val="none" w:sz="0" w:space="0" w:color="auto"/>
      </w:divBdr>
    </w:div>
    <w:div w:id="1648703805">
      <w:bodyDiv w:val="1"/>
      <w:marLeft w:val="0"/>
      <w:marRight w:val="0"/>
      <w:marTop w:val="0"/>
      <w:marBottom w:val="0"/>
      <w:divBdr>
        <w:top w:val="none" w:sz="0" w:space="0" w:color="auto"/>
        <w:left w:val="none" w:sz="0" w:space="0" w:color="auto"/>
        <w:bottom w:val="none" w:sz="0" w:space="0" w:color="auto"/>
        <w:right w:val="none" w:sz="0" w:space="0" w:color="auto"/>
      </w:divBdr>
    </w:div>
    <w:div w:id="1670333464">
      <w:bodyDiv w:val="1"/>
      <w:marLeft w:val="0"/>
      <w:marRight w:val="0"/>
      <w:marTop w:val="0"/>
      <w:marBottom w:val="0"/>
      <w:divBdr>
        <w:top w:val="none" w:sz="0" w:space="0" w:color="auto"/>
        <w:left w:val="none" w:sz="0" w:space="0" w:color="auto"/>
        <w:bottom w:val="none" w:sz="0" w:space="0" w:color="auto"/>
        <w:right w:val="none" w:sz="0" w:space="0" w:color="auto"/>
      </w:divBdr>
    </w:div>
    <w:div w:id="1741321567">
      <w:bodyDiv w:val="1"/>
      <w:marLeft w:val="0"/>
      <w:marRight w:val="0"/>
      <w:marTop w:val="0"/>
      <w:marBottom w:val="0"/>
      <w:divBdr>
        <w:top w:val="none" w:sz="0" w:space="0" w:color="auto"/>
        <w:left w:val="none" w:sz="0" w:space="0" w:color="auto"/>
        <w:bottom w:val="none" w:sz="0" w:space="0" w:color="auto"/>
        <w:right w:val="none" w:sz="0" w:space="0" w:color="auto"/>
      </w:divBdr>
    </w:div>
    <w:div w:id="1794668535">
      <w:bodyDiv w:val="1"/>
      <w:marLeft w:val="0"/>
      <w:marRight w:val="0"/>
      <w:marTop w:val="0"/>
      <w:marBottom w:val="0"/>
      <w:divBdr>
        <w:top w:val="none" w:sz="0" w:space="0" w:color="auto"/>
        <w:left w:val="none" w:sz="0" w:space="0" w:color="auto"/>
        <w:bottom w:val="none" w:sz="0" w:space="0" w:color="auto"/>
        <w:right w:val="none" w:sz="0" w:space="0" w:color="auto"/>
      </w:divBdr>
    </w:div>
    <w:div w:id="1861773308">
      <w:bodyDiv w:val="1"/>
      <w:marLeft w:val="0"/>
      <w:marRight w:val="0"/>
      <w:marTop w:val="0"/>
      <w:marBottom w:val="0"/>
      <w:divBdr>
        <w:top w:val="none" w:sz="0" w:space="0" w:color="auto"/>
        <w:left w:val="none" w:sz="0" w:space="0" w:color="auto"/>
        <w:bottom w:val="none" w:sz="0" w:space="0" w:color="auto"/>
        <w:right w:val="none" w:sz="0" w:space="0" w:color="auto"/>
      </w:divBdr>
    </w:div>
    <w:div w:id="1910579708">
      <w:bodyDiv w:val="1"/>
      <w:marLeft w:val="0"/>
      <w:marRight w:val="0"/>
      <w:marTop w:val="0"/>
      <w:marBottom w:val="0"/>
      <w:divBdr>
        <w:top w:val="none" w:sz="0" w:space="0" w:color="auto"/>
        <w:left w:val="none" w:sz="0" w:space="0" w:color="auto"/>
        <w:bottom w:val="none" w:sz="0" w:space="0" w:color="auto"/>
        <w:right w:val="none" w:sz="0" w:space="0" w:color="auto"/>
      </w:divBdr>
    </w:div>
    <w:div w:id="1939555366">
      <w:bodyDiv w:val="1"/>
      <w:marLeft w:val="0"/>
      <w:marRight w:val="0"/>
      <w:marTop w:val="0"/>
      <w:marBottom w:val="0"/>
      <w:divBdr>
        <w:top w:val="none" w:sz="0" w:space="0" w:color="auto"/>
        <w:left w:val="none" w:sz="0" w:space="0" w:color="auto"/>
        <w:bottom w:val="none" w:sz="0" w:space="0" w:color="auto"/>
        <w:right w:val="none" w:sz="0" w:space="0" w:color="auto"/>
      </w:divBdr>
    </w:div>
    <w:div w:id="206275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dp.org/content/undp/en/home/2030-agenda-for-sustainable-development/peace/rule-of-law--justice--security-and-human-rights/access-to-justic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ecd.org/governance/legal-needs-surveys-and-access-to-justice-g2g9a36c-en.htm" TargetMode="External"/><Relationship Id="rId2" Type="http://schemas.openxmlformats.org/officeDocument/2006/relationships/customXml" Target="../customXml/item2.xml"/><Relationship Id="rId16" Type="http://schemas.openxmlformats.org/officeDocument/2006/relationships/hyperlink" Target="https://www.sdg16hub.org/topic/sdg-16-survey-initiative-implementation-manua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dg16hub.org/topic/sdg-16-survey-initiative-questionnair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dc.org/unodc/en/data-and-analysis/Manual-on-victim-survey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dg16hub.org/topic/sdg-16-survey-initiative-questionnaire" TargetMode="External"/><Relationship Id="rId2" Type="http://schemas.openxmlformats.org/officeDocument/2006/relationships/hyperlink" Target="https://www.oecd.org/governance/legal-needs-surveys-and-access-to-justice-g2g9a36c-en.htm" TargetMode="External"/><Relationship Id="rId1" Type="http://schemas.openxmlformats.org/officeDocument/2006/relationships/hyperlink" Target="https://www.oecd.org/governance/legal-needs-surveys-and-access-to-justice-g2g9a36c-en.htm" TargetMode="External"/><Relationship Id="rId4" Type="http://schemas.openxmlformats.org/officeDocument/2006/relationships/hyperlink" Target="https://www.sdg16hub.org/topic/sdg-16-survey-initiative-implementation-man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CAD6891E844202948F9CEBEEA42D81"/>
        <w:category>
          <w:name w:val="General"/>
          <w:gallery w:val="placeholder"/>
        </w:category>
        <w:types>
          <w:type w:val="bbPlcHdr"/>
        </w:types>
        <w:behaviors>
          <w:behavior w:val="content"/>
        </w:behaviors>
        <w:guid w:val="{EB47CA51-0964-4232-BCD0-EC4C75DA955C}"/>
      </w:docPartPr>
      <w:docPartBody>
        <w:p w:rsidR="00D937E7" w:rsidRDefault="00687831">
          <w:pPr>
            <w:pStyle w:val="F4CAD6891E844202948F9CEBEEA42D81"/>
          </w:pPr>
          <w:r w:rsidRPr="007076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7"/>
    <w:rsid w:val="0001692F"/>
    <w:rsid w:val="00181CCC"/>
    <w:rsid w:val="001B0E21"/>
    <w:rsid w:val="00573645"/>
    <w:rsid w:val="00687831"/>
    <w:rsid w:val="00D937E7"/>
    <w:rsid w:val="00DC6E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CAD6891E844202948F9CEBEEA42D81">
    <w:name w:val="F4CAD6891E844202948F9CEBEEA42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D718-C18F-448C-A1FB-84B04588F9B8}">
  <ds:schemaRefs>
    <ds:schemaRef ds:uri="f2d2d782-0088-4826-96df-71eba56e6d2e"/>
    <ds:schemaRef ds:uri="http://www.w3.org/XML/1998/namespace"/>
    <ds:schemaRef ds:uri="http://purl.org/dc/terms/"/>
    <ds:schemaRef ds:uri="http://purl.org/dc/elements/1.1/"/>
    <ds:schemaRef ds:uri="d114b01d-ae01-4749-b845-9d88e7ef5c0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B9F57-2B32-4BEF-BFC0-78F38EB98379}">
  <ds:schemaRefs>
    <ds:schemaRef ds:uri="http://schemas.microsoft.com/sharepoint/v3/contenttype/forms"/>
  </ds:schemaRefs>
</ds:datastoreItem>
</file>

<file path=customXml/itemProps4.xml><?xml version="1.0" encoding="utf-8"?>
<ds:datastoreItem xmlns:ds="http://schemas.openxmlformats.org/officeDocument/2006/customXml" ds:itemID="{479099A5-FA19-4481-B299-F60F4808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6.xml><?xml version="1.0" encoding="utf-8"?>
<ds:datastoreItem xmlns:ds="http://schemas.openxmlformats.org/officeDocument/2006/customXml" ds:itemID="{9820C0F7-7680-4051-A118-42DE2824928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4111</Words>
  <Characters>23438</Characters>
  <Application>Microsoft Office Word</Application>
  <DocSecurity>4</DocSecurity>
  <Lines>195</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StatCan</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dc:description/>
  <cp:lastModifiedBy>Justo Rojas Lopez</cp:lastModifiedBy>
  <cp:revision>7</cp:revision>
  <dcterms:created xsi:type="dcterms:W3CDTF">2025-05-26T23:12:00Z</dcterms:created>
  <dcterms:modified xsi:type="dcterms:W3CDTF">2025-06-02T17:05:00Z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for Microsoft 365</vt:lpwstr>
  </property>
  <property fmtid="{D5CDD505-2E9C-101B-9397-08002B2CF9AE}" pid="4" name="LastSaved">
    <vt:filetime>2021-10-16T00:00:00Z</vt:filetime>
  </property>
  <property fmtid="{D5CDD505-2E9C-101B-9397-08002B2CF9AE}" pid="5" name="ContentTypeId">
    <vt:lpwstr>0x010100AF1FA24D40735C4697754DDAD8746459</vt:lpwstr>
  </property>
</Properties>
</file>