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27BA6" w14:textId="60E3BB6F" w:rsidR="006C4BFD" w:rsidRPr="004A2E21" w:rsidRDefault="004A2E21" w:rsidP="006C4BFD">
      <w:pPr>
        <w:spacing w:after="0"/>
        <w:jc w:val="center"/>
        <w:rPr>
          <w:rFonts w:cs="Calibri"/>
          <w:lang w:val="es-MX"/>
        </w:rPr>
      </w:pPr>
      <w:bookmarkStart w:id="0" w:name="_Hlk196759661"/>
      <w:r w:rsidRPr="004A2E21">
        <w:rPr>
          <w:rFonts w:eastAsia="Times New Roman" w:cs="Calibri"/>
          <w:color w:val="1C75BC"/>
          <w:sz w:val="36"/>
          <w:szCs w:val="36"/>
          <w:lang w:val="es-MX" w:eastAsia="en-GB"/>
        </w:rPr>
        <w:t>Metadatos de Indicador ODS</w:t>
      </w:r>
    </w:p>
    <w:bookmarkEnd w:id="0"/>
    <w:p w14:paraId="129054E9" w14:textId="44D9391A" w:rsidR="006C4BFD" w:rsidRPr="004A2E21" w:rsidRDefault="002C2510" w:rsidP="006C4BFD">
      <w:pPr>
        <w:spacing w:after="0"/>
        <w:jc w:val="center"/>
        <w:rPr>
          <w:rFonts w:eastAsia="Times New Roman" w:cs="Calibri"/>
          <w:b/>
          <w:bCs/>
          <w:color w:val="4A4A4A"/>
          <w:sz w:val="21"/>
          <w:szCs w:val="21"/>
          <w:lang w:val="es-MX" w:eastAsia="en-GB"/>
        </w:rPr>
      </w:pPr>
      <w:r w:rsidRPr="004A2E21">
        <w:rPr>
          <w:rFonts w:eastAsia="Times New Roman" w:cs="Calibri"/>
          <w:b/>
          <w:bCs/>
          <w:color w:val="4A4A4A"/>
          <w:sz w:val="21"/>
          <w:szCs w:val="21"/>
          <w:lang w:val="es-MX" w:eastAsia="en-GB"/>
        </w:rPr>
        <w:t>(</w:t>
      </w:r>
      <w:bookmarkStart w:id="1" w:name="_Hlk196759673"/>
      <w:r w:rsidR="004A2E21" w:rsidRPr="004A2E21">
        <w:rPr>
          <w:rFonts w:eastAsia="Times New Roman" w:cs="Calibri"/>
          <w:b/>
          <w:bCs/>
          <w:color w:val="4A4A4A"/>
          <w:sz w:val="21"/>
          <w:szCs w:val="21"/>
          <w:lang w:val="es-MX" w:eastAsia="en-GB"/>
        </w:rPr>
        <w:t>Plantilla armonizada de metadatos – formato versión 1.1</w:t>
      </w:r>
      <w:bookmarkEnd w:id="1"/>
      <w:r w:rsidRPr="004A2E21">
        <w:rPr>
          <w:rFonts w:eastAsia="Times New Roman" w:cs="Calibri"/>
          <w:b/>
          <w:bCs/>
          <w:color w:val="4A4A4A"/>
          <w:sz w:val="21"/>
          <w:szCs w:val="21"/>
          <w:lang w:val="es-MX" w:eastAsia="en-GB"/>
        </w:rPr>
        <w:t>)</w:t>
      </w:r>
    </w:p>
    <w:p w14:paraId="773F63CF" w14:textId="77777777" w:rsidR="006C4BFD" w:rsidRPr="004A2E21" w:rsidRDefault="006C4BFD" w:rsidP="006C4BFD">
      <w:pPr>
        <w:spacing w:after="0"/>
        <w:rPr>
          <w:rFonts w:eastAsia="Times New Roman" w:cs="Times New Roman"/>
          <w:b/>
          <w:bCs/>
          <w:color w:val="4A4A4A"/>
          <w:sz w:val="21"/>
          <w:szCs w:val="21"/>
          <w:lang w:val="es-MX" w:eastAsia="en-GB"/>
        </w:rPr>
      </w:pPr>
    </w:p>
    <w:p w14:paraId="6AEAC6DA" w14:textId="2FB0E117" w:rsidR="00B31E2C" w:rsidRPr="004A2E21" w:rsidRDefault="00B31E2C" w:rsidP="00EA05D3">
      <w:pPr>
        <w:pStyle w:val="MIndHeader2"/>
        <w:rPr>
          <w:lang w:val="es-MX"/>
        </w:rPr>
      </w:pPr>
      <w:r w:rsidRPr="004A2E21">
        <w:rPr>
          <w:lang w:val="es-MX"/>
        </w:rPr>
        <w:t xml:space="preserve">0. </w:t>
      </w:r>
      <w:bookmarkStart w:id="2" w:name="_Hlk196761188"/>
      <w:bookmarkStart w:id="3" w:name="_Hlk196759680"/>
      <w:r w:rsidR="004A2E21" w:rsidRPr="004A2E21">
        <w:rPr>
          <w:lang w:val="es-MX"/>
        </w:rPr>
        <w:t>Información de Indicador</w:t>
      </w:r>
      <w:bookmarkEnd w:id="2"/>
      <w:r w:rsidRPr="004A2E21">
        <w:rPr>
          <w:lang w:val="es-MX"/>
        </w:rPr>
        <w:t xml:space="preserve"> </w:t>
      </w:r>
      <w:bookmarkEnd w:id="3"/>
      <w:r w:rsidRPr="004A2E21">
        <w:rPr>
          <w:color w:val="B4B4B4"/>
          <w:sz w:val="20"/>
          <w:lang w:val="es-MX"/>
        </w:rPr>
        <w:t>(SDG_INDICATOR_INFO)</w:t>
      </w:r>
    </w:p>
    <w:p w14:paraId="043ED752" w14:textId="003E792E" w:rsidR="00D24330" w:rsidRPr="00F36079" w:rsidRDefault="00D24330" w:rsidP="00EA05D3">
      <w:pPr>
        <w:pStyle w:val="MIndHeader"/>
        <w:rPr>
          <w:lang w:val="es-MX"/>
        </w:rPr>
      </w:pPr>
      <w:r w:rsidRPr="00F36079">
        <w:rPr>
          <w:lang w:val="es-MX"/>
        </w:rPr>
        <w:t xml:space="preserve">0.a. </w:t>
      </w:r>
      <w:bookmarkStart w:id="4" w:name="_Hlk196759687"/>
      <w:r w:rsidR="004A2E21" w:rsidRPr="00F36079">
        <w:rPr>
          <w:lang w:val="es-MX"/>
        </w:rPr>
        <w:t>Objetivo</w:t>
      </w:r>
      <w:bookmarkEnd w:id="4"/>
      <w:r w:rsidRPr="00F36079">
        <w:rPr>
          <w:lang w:val="es-MX"/>
        </w:rPr>
        <w:t xml:space="preserve"> </w:t>
      </w:r>
      <w:r w:rsidRPr="00F36079">
        <w:rPr>
          <w:color w:val="B4B4B4"/>
          <w:sz w:val="20"/>
          <w:lang w:val="es-MX"/>
        </w:rPr>
        <w:t>(SDG_GOAL)</w:t>
      </w:r>
    </w:p>
    <w:p w14:paraId="2D7B6FB6" w14:textId="03CF85D9" w:rsidR="008C288B" w:rsidRPr="004A2E21" w:rsidRDefault="004A2E21" w:rsidP="002F5F0C">
      <w:pPr>
        <w:pStyle w:val="MGTHeader"/>
        <w:rPr>
          <w:lang w:val="es-MX"/>
        </w:rPr>
      </w:pPr>
      <w:r>
        <w:rPr>
          <w:lang w:val="es-MX"/>
        </w:rPr>
        <w:t>Objetivo</w:t>
      </w:r>
      <w:r w:rsidR="008C288B" w:rsidRPr="004A2E21">
        <w:rPr>
          <w:lang w:val="es-MX"/>
        </w:rPr>
        <w:t xml:space="preserve"> 16: </w:t>
      </w:r>
      <w:bookmarkStart w:id="5" w:name="_Hlk196754486"/>
      <w:bookmarkStart w:id="6" w:name="_Hlk196760067"/>
      <w:r w:rsidRPr="004A2E21">
        <w:rPr>
          <w:lang w:val="es-MX"/>
        </w:rPr>
        <w:t>Promover sociedades pacíficas e inclusivas para el desarrollo sostenible, facilitar el acceso a la justicia para todos y construir a todos los niveles instituciones eficaces e inclusivas que rindan cuentas</w:t>
      </w:r>
      <w:r w:rsidR="00F36079">
        <w:rPr>
          <w:lang w:val="es-MX"/>
        </w:rPr>
        <w:t xml:space="preserve"> en todos los niveles. </w:t>
      </w:r>
      <w:bookmarkEnd w:id="5"/>
    </w:p>
    <w:bookmarkEnd w:id="6"/>
    <w:p w14:paraId="084142D2" w14:textId="4C8A7E2F" w:rsidR="00D24330" w:rsidRPr="00F36079" w:rsidRDefault="00D24330" w:rsidP="00D24330">
      <w:pPr>
        <w:pStyle w:val="MIndHeader"/>
        <w:rPr>
          <w:lang w:val="es-MX"/>
        </w:rPr>
      </w:pPr>
      <w:r w:rsidRPr="00F36079">
        <w:rPr>
          <w:lang w:val="es-MX"/>
        </w:rPr>
        <w:t xml:space="preserve">0.b. </w:t>
      </w:r>
      <w:bookmarkStart w:id="7" w:name="_Hlk196759694"/>
      <w:r w:rsidR="004A2E21" w:rsidRPr="00F36079">
        <w:rPr>
          <w:lang w:val="es-MX"/>
        </w:rPr>
        <w:t>Meta</w:t>
      </w:r>
      <w:bookmarkEnd w:id="7"/>
      <w:r w:rsidRPr="00F36079">
        <w:rPr>
          <w:lang w:val="es-MX"/>
        </w:rPr>
        <w:t xml:space="preserve"> </w:t>
      </w:r>
      <w:r w:rsidRPr="00F36079">
        <w:rPr>
          <w:color w:val="B4B4B4"/>
          <w:sz w:val="20"/>
          <w:lang w:val="es-MX"/>
        </w:rPr>
        <w:t>(SDG_TARGET)</w:t>
      </w:r>
    </w:p>
    <w:p w14:paraId="39D2F66C" w14:textId="3BD5C3A3" w:rsidR="008C288B" w:rsidRPr="004A2E21" w:rsidRDefault="004A2E21" w:rsidP="00D24330">
      <w:pPr>
        <w:pStyle w:val="MGTHeader"/>
        <w:rPr>
          <w:lang w:val="es-MX"/>
        </w:rPr>
      </w:pPr>
      <w:r w:rsidRPr="004A2E21">
        <w:rPr>
          <w:lang w:val="es-MX"/>
        </w:rPr>
        <w:t>Meta</w:t>
      </w:r>
      <w:r w:rsidR="008C288B" w:rsidRPr="004A2E21">
        <w:rPr>
          <w:lang w:val="es-MX"/>
        </w:rPr>
        <w:t xml:space="preserve"> 16.3: </w:t>
      </w:r>
      <w:bookmarkStart w:id="8" w:name="_Hlk196754497"/>
      <w:r w:rsidRPr="004A2E21">
        <w:rPr>
          <w:lang w:val="es-MX"/>
        </w:rPr>
        <w:t>Promover el Estado de Derecho a escala nacional e internacional y garantizar la igualdad de acceso a la justicia para todos.</w:t>
      </w:r>
    </w:p>
    <w:bookmarkEnd w:id="8"/>
    <w:p w14:paraId="3E67E7E0" w14:textId="086DA80D" w:rsidR="00D24330" w:rsidRPr="00F36079" w:rsidRDefault="00D24330" w:rsidP="00D24330">
      <w:pPr>
        <w:pStyle w:val="MIndHeader"/>
        <w:rPr>
          <w:lang w:val="es-MX"/>
        </w:rPr>
      </w:pPr>
      <w:r w:rsidRPr="00F36079">
        <w:rPr>
          <w:lang w:val="es-MX"/>
        </w:rPr>
        <w:t xml:space="preserve">0.c. </w:t>
      </w:r>
      <w:bookmarkStart w:id="9" w:name="_Hlk196762862"/>
      <w:r w:rsidRPr="00F36079">
        <w:rPr>
          <w:lang w:val="es-MX"/>
        </w:rPr>
        <w:t>Indica</w:t>
      </w:r>
      <w:r w:rsidR="004A2E21" w:rsidRPr="00F36079">
        <w:rPr>
          <w:lang w:val="es-MX"/>
        </w:rPr>
        <w:t>dor</w:t>
      </w:r>
      <w:bookmarkEnd w:id="9"/>
      <w:r w:rsidRPr="00F36079">
        <w:rPr>
          <w:lang w:val="es-MX"/>
        </w:rPr>
        <w:t xml:space="preserve"> </w:t>
      </w:r>
      <w:r w:rsidRPr="00F36079">
        <w:rPr>
          <w:color w:val="B4B4B4"/>
          <w:sz w:val="20"/>
          <w:lang w:val="es-MX"/>
        </w:rPr>
        <w:t>(SDG_INDICATOR)</w:t>
      </w:r>
    </w:p>
    <w:p w14:paraId="436FD8C6" w14:textId="1D9646A7" w:rsidR="008C288B" w:rsidRPr="00F36079" w:rsidRDefault="008C288B" w:rsidP="00D24330">
      <w:pPr>
        <w:pStyle w:val="MGTHeader"/>
        <w:rPr>
          <w:lang w:val="es-MX"/>
        </w:rPr>
      </w:pPr>
      <w:r w:rsidRPr="004A2E21">
        <w:rPr>
          <w:lang w:val="es-MX"/>
        </w:rPr>
        <w:t>Indica</w:t>
      </w:r>
      <w:r w:rsidR="004A2E21" w:rsidRPr="004A2E21">
        <w:rPr>
          <w:lang w:val="es-MX"/>
        </w:rPr>
        <w:t>dor</w:t>
      </w:r>
      <w:r w:rsidRPr="004A2E21">
        <w:rPr>
          <w:lang w:val="es-MX"/>
        </w:rPr>
        <w:t xml:space="preserve"> 16.3.2: </w:t>
      </w:r>
      <w:r w:rsidR="004A2E21" w:rsidRPr="004A2E21">
        <w:rPr>
          <w:lang w:val="es-MX"/>
        </w:rPr>
        <w:t xml:space="preserve"> Proporción de detenidos que no han sido condenados en el conjunto de la población reclusa total. </w:t>
      </w:r>
    </w:p>
    <w:p w14:paraId="630723EA" w14:textId="63172E67" w:rsidR="00763F7F" w:rsidRPr="004A2E21" w:rsidRDefault="00D24330" w:rsidP="00763F7F">
      <w:pPr>
        <w:pStyle w:val="MIndHeader"/>
        <w:rPr>
          <w:lang w:val="es-MX"/>
        </w:rPr>
      </w:pPr>
      <w:r w:rsidRPr="004A2E21">
        <w:rPr>
          <w:lang w:val="es-MX"/>
        </w:rPr>
        <w:t>0.d. Seri</w:t>
      </w:r>
      <w:r w:rsidR="004A2E21" w:rsidRPr="004A2E21">
        <w:rPr>
          <w:lang w:val="es-MX"/>
        </w:rPr>
        <w:t>e</w:t>
      </w:r>
      <w:r w:rsidRPr="004A2E21">
        <w:rPr>
          <w:lang w:val="es-MX"/>
        </w:rPr>
        <w:t xml:space="preserve"> </w:t>
      </w:r>
      <w:r w:rsidRPr="004A2E21">
        <w:rPr>
          <w:color w:val="B4B4B4"/>
          <w:sz w:val="20"/>
          <w:lang w:val="es-MX"/>
        </w:rPr>
        <w:t>(SDG_SERIES_DESCR)</w:t>
      </w:r>
    </w:p>
    <w:p w14:paraId="771888BA" w14:textId="6C760C84" w:rsidR="00D24330" w:rsidRPr="004A2E21" w:rsidRDefault="00972AF0" w:rsidP="003F65E0">
      <w:pPr>
        <w:pStyle w:val="MGTHeader"/>
        <w:rPr>
          <w:lang w:val="es-MX"/>
        </w:rPr>
      </w:pPr>
      <w:r w:rsidRPr="004A2E21">
        <w:rPr>
          <w:lang w:val="es-MX"/>
        </w:rPr>
        <w:t xml:space="preserve">VC_PRS_UNSNT - </w:t>
      </w:r>
      <w:r w:rsidR="004A2E21" w:rsidRPr="004A2E21">
        <w:rPr>
          <w:lang w:val="es-MX"/>
        </w:rPr>
        <w:t>Proporción de detenidos que no han sido condenados en el conjunto de la población reclusa total</w:t>
      </w:r>
      <w:r w:rsidR="004A2E21">
        <w:rPr>
          <w:lang w:val="es-MX"/>
        </w:rPr>
        <w:t xml:space="preserve"> </w:t>
      </w:r>
      <w:r w:rsidRPr="004A2E21">
        <w:rPr>
          <w:lang w:val="es-MX"/>
        </w:rPr>
        <w:t>[16.3.2]</w:t>
      </w:r>
    </w:p>
    <w:p w14:paraId="157DACE7" w14:textId="45CEDB1E" w:rsidR="00D24330" w:rsidRPr="004A2E21" w:rsidRDefault="00D24330" w:rsidP="00D24330">
      <w:pPr>
        <w:pStyle w:val="MIndHeader"/>
        <w:rPr>
          <w:lang w:val="es-MX"/>
        </w:rPr>
      </w:pPr>
      <w:r w:rsidRPr="004A2E21">
        <w:rPr>
          <w:lang w:val="es-MX"/>
        </w:rPr>
        <w:t xml:space="preserve">0.e. </w:t>
      </w:r>
      <w:bookmarkStart w:id="10" w:name="_Hlk196759711"/>
      <w:bookmarkStart w:id="11" w:name="_Hlk196761213"/>
      <w:r w:rsidR="004A2E21" w:rsidRPr="004A2E21">
        <w:rPr>
          <w:lang w:val="es-MX"/>
        </w:rPr>
        <w:t>Actualización de metadatos</w:t>
      </w:r>
      <w:bookmarkEnd w:id="10"/>
      <w:r w:rsidRPr="004A2E21">
        <w:rPr>
          <w:lang w:val="es-MX"/>
        </w:rPr>
        <w:t xml:space="preserve"> </w:t>
      </w:r>
      <w:bookmarkEnd w:id="11"/>
      <w:r w:rsidRPr="004A2E21">
        <w:rPr>
          <w:color w:val="B4B4B4"/>
          <w:sz w:val="20"/>
          <w:lang w:val="es-MX"/>
        </w:rPr>
        <w:t>(META_LAST_UPDATE)</w:t>
      </w:r>
    </w:p>
    <w:p w14:paraId="2094414E" w14:textId="28822D30" w:rsidR="008C288B" w:rsidRPr="00F36079" w:rsidRDefault="006C4A27" w:rsidP="00D24330">
      <w:pPr>
        <w:pStyle w:val="MGTHeader"/>
        <w:rPr>
          <w:lang w:val="es-MX"/>
        </w:rPr>
      </w:pPr>
      <w:sdt>
        <w:sdtPr>
          <w:rPr>
            <w:lang w:val="es-MX"/>
          </w:rPr>
          <w:id w:val="-261694056"/>
          <w:placeholder>
            <w:docPart w:val="DefaultPlaceholder_-1854013437"/>
          </w:placeholder>
          <w:date w:fullDate="2024-01-31T00:00:00Z">
            <w:dateFormat w:val="yyyy-MM-dd"/>
            <w:lid w:val="en-US"/>
            <w:storeMappedDataAs w:val="dateTime"/>
            <w:calendar w:val="gregorian"/>
          </w:date>
        </w:sdtPr>
        <w:sdtEndPr/>
        <w:sdtContent>
          <w:r w:rsidR="006041FC" w:rsidRPr="00F36079">
            <w:rPr>
              <w:lang w:val="es-MX"/>
            </w:rPr>
            <w:t>2024-01-31</w:t>
          </w:r>
        </w:sdtContent>
      </w:sdt>
    </w:p>
    <w:p w14:paraId="415C9FF1" w14:textId="195CED52" w:rsidR="00D24330" w:rsidRPr="004A2E21" w:rsidRDefault="00D24330" w:rsidP="00D24330">
      <w:pPr>
        <w:pStyle w:val="MIndHeader"/>
        <w:rPr>
          <w:lang w:val="es-MX"/>
        </w:rPr>
      </w:pPr>
      <w:r w:rsidRPr="004A2E21">
        <w:rPr>
          <w:lang w:val="es-MX"/>
        </w:rPr>
        <w:t xml:space="preserve">0.f. </w:t>
      </w:r>
      <w:bookmarkStart w:id="12" w:name="_Hlk196759719"/>
      <w:r w:rsidR="004A2E21" w:rsidRPr="004A2E21">
        <w:rPr>
          <w:lang w:val="es-MX"/>
        </w:rPr>
        <w:t>Indicadores relacionados</w:t>
      </w:r>
      <w:r w:rsidRPr="004A2E21">
        <w:rPr>
          <w:lang w:val="es-MX"/>
        </w:rPr>
        <w:t xml:space="preserve"> </w:t>
      </w:r>
      <w:bookmarkEnd w:id="12"/>
      <w:r w:rsidRPr="004A2E21">
        <w:rPr>
          <w:color w:val="B4B4B4"/>
          <w:sz w:val="20"/>
          <w:lang w:val="es-MX"/>
        </w:rPr>
        <w:t>(SDG_RELATED_INDICATORS)</w:t>
      </w:r>
    </w:p>
    <w:p w14:paraId="16508511" w14:textId="4FE2144A" w:rsidR="002E1EC9" w:rsidRPr="004A2E21" w:rsidRDefault="004A2E21" w:rsidP="00763F7F">
      <w:pPr>
        <w:pStyle w:val="MGTHeader"/>
        <w:rPr>
          <w:lang w:val="es-MX"/>
        </w:rPr>
      </w:pPr>
      <w:r w:rsidRPr="004A2E21">
        <w:rPr>
          <w:lang w:val="es-MX"/>
        </w:rPr>
        <w:t xml:space="preserve">Otros indicadores de los ODS están relacionados con el acceso a la justicia y la eficacia del sistema de justicia </w:t>
      </w:r>
      <w:proofErr w:type="gramStart"/>
      <w:r w:rsidRPr="004A2E21">
        <w:rPr>
          <w:lang w:val="es-MX"/>
        </w:rPr>
        <w:t>penal:</w:t>
      </w:r>
      <w:r w:rsidR="2D054234" w:rsidRPr="004A2E21">
        <w:rPr>
          <w:lang w:val="es-MX"/>
        </w:rPr>
        <w:t>:</w:t>
      </w:r>
      <w:proofErr w:type="gramEnd"/>
      <w:r w:rsidR="2D054234" w:rsidRPr="004A2E21">
        <w:rPr>
          <w:lang w:val="es-MX"/>
        </w:rPr>
        <w:t xml:space="preserve"> Indica</w:t>
      </w:r>
      <w:r>
        <w:rPr>
          <w:lang w:val="es-MX"/>
        </w:rPr>
        <w:t>d</w:t>
      </w:r>
      <w:r w:rsidR="2D054234" w:rsidRPr="004A2E21">
        <w:rPr>
          <w:lang w:val="es-MX"/>
        </w:rPr>
        <w:t xml:space="preserve">or 16.3.1 </w:t>
      </w:r>
      <w:r w:rsidRPr="004A2E21">
        <w:rPr>
          <w:lang w:val="es-MX"/>
        </w:rPr>
        <w:t>sobre la denuncia de experiencias de violencia a las autoridades</w:t>
      </w:r>
      <w:r w:rsidR="2EC2C426" w:rsidRPr="004A2E21">
        <w:rPr>
          <w:lang w:val="es-MX"/>
        </w:rPr>
        <w:t xml:space="preserve">; </w:t>
      </w:r>
      <w:r w:rsidR="2D054234" w:rsidRPr="004A2E21">
        <w:rPr>
          <w:lang w:val="es-MX"/>
        </w:rPr>
        <w:t>Indica</w:t>
      </w:r>
      <w:r>
        <w:rPr>
          <w:lang w:val="es-MX"/>
        </w:rPr>
        <w:t>d</w:t>
      </w:r>
      <w:r w:rsidR="2D054234" w:rsidRPr="004A2E21">
        <w:rPr>
          <w:lang w:val="es-MX"/>
        </w:rPr>
        <w:t xml:space="preserve">or 16.3.3. </w:t>
      </w:r>
      <w:r w:rsidRPr="004A2E21">
        <w:rPr>
          <w:lang w:val="es-MX"/>
        </w:rPr>
        <w:t>sobre el acceso al mecanismo de resolución de conflictos</w:t>
      </w:r>
      <w:r>
        <w:rPr>
          <w:lang w:val="es-MX"/>
        </w:rPr>
        <w:t xml:space="preserve">. </w:t>
      </w:r>
    </w:p>
    <w:p w14:paraId="077BC49E" w14:textId="63DB06A6" w:rsidR="00D24330" w:rsidRPr="004A2E21" w:rsidRDefault="00D24330" w:rsidP="00D24330">
      <w:pPr>
        <w:pStyle w:val="MIndHeader"/>
        <w:rPr>
          <w:lang w:val="es-MX"/>
        </w:rPr>
      </w:pPr>
      <w:r w:rsidRPr="004A2E21">
        <w:rPr>
          <w:lang w:val="es-MX"/>
        </w:rPr>
        <w:t xml:space="preserve">0.g. </w:t>
      </w:r>
      <w:bookmarkStart w:id="13" w:name="_Hlk196759729"/>
      <w:r w:rsidR="004A2E21">
        <w:rPr>
          <w:lang w:val="es-MX"/>
        </w:rPr>
        <w:t>Organización (</w:t>
      </w:r>
      <w:r w:rsidR="004A2E21" w:rsidRPr="004A2E21">
        <w:rPr>
          <w:lang w:val="es-MX"/>
        </w:rPr>
        <w:t>es</w:t>
      </w:r>
      <w:r w:rsidR="004A2E21">
        <w:rPr>
          <w:lang w:val="es-MX"/>
        </w:rPr>
        <w:t>)</w:t>
      </w:r>
      <w:r w:rsidR="004A2E21" w:rsidRPr="004A2E21">
        <w:rPr>
          <w:lang w:val="es-MX"/>
        </w:rPr>
        <w:t xml:space="preserve"> Internacional</w:t>
      </w:r>
      <w:r w:rsidR="004A2E21">
        <w:rPr>
          <w:lang w:val="es-MX"/>
        </w:rPr>
        <w:t xml:space="preserve"> (</w:t>
      </w:r>
      <w:r w:rsidR="004A2E21" w:rsidRPr="004A2E21">
        <w:rPr>
          <w:lang w:val="es-MX"/>
        </w:rPr>
        <w:t>es</w:t>
      </w:r>
      <w:r w:rsidR="004A2E21">
        <w:rPr>
          <w:lang w:val="es-MX"/>
        </w:rPr>
        <w:t>)</w:t>
      </w:r>
      <w:r w:rsidR="004A2E21" w:rsidRPr="004A2E21">
        <w:rPr>
          <w:lang w:val="es-MX"/>
        </w:rPr>
        <w:t xml:space="preserve"> responsabl</w:t>
      </w:r>
      <w:r w:rsidR="004A2E21">
        <w:rPr>
          <w:lang w:val="es-MX"/>
        </w:rPr>
        <w:t>e (es) del monitoreo mundial</w:t>
      </w:r>
      <w:r w:rsidRPr="004A2E21">
        <w:rPr>
          <w:lang w:val="es-MX"/>
        </w:rPr>
        <w:t xml:space="preserve"> </w:t>
      </w:r>
      <w:bookmarkEnd w:id="13"/>
      <w:r w:rsidRPr="004A2E21">
        <w:rPr>
          <w:color w:val="B4B4B4"/>
          <w:sz w:val="20"/>
          <w:lang w:val="es-MX"/>
        </w:rPr>
        <w:t>(SDG_CUSTODIAN_AGENCIES)</w:t>
      </w:r>
    </w:p>
    <w:p w14:paraId="10075411" w14:textId="2FD77452" w:rsidR="00B3115D" w:rsidRPr="004A2E21" w:rsidRDefault="004A2E21" w:rsidP="00D24330">
      <w:pPr>
        <w:pStyle w:val="MGTHeader"/>
        <w:rPr>
          <w:color w:val="4A4A4A"/>
          <w:lang w:val="es-MX"/>
        </w:rPr>
      </w:pPr>
      <w:bookmarkStart w:id="14" w:name="_Hlk196761566"/>
      <w:r w:rsidRPr="004A2E21">
        <w:rPr>
          <w:lang w:val="es-MX"/>
        </w:rPr>
        <w:t>Oficina de Naciones Unidas contra la Droga y el Delito</w:t>
      </w:r>
      <w:r>
        <w:rPr>
          <w:lang w:val="es-MX"/>
        </w:rPr>
        <w:t xml:space="preserve"> </w:t>
      </w:r>
      <w:bookmarkEnd w:id="14"/>
      <w:r w:rsidRPr="004A2E21">
        <w:rPr>
          <w:lang w:val="es-MX"/>
        </w:rPr>
        <w:t>(UNODC)</w:t>
      </w:r>
    </w:p>
    <w:p w14:paraId="19F29921" w14:textId="77777777" w:rsidR="008D1D39" w:rsidRPr="004A2E21" w:rsidRDefault="008D1D39" w:rsidP="00573631">
      <w:pPr>
        <w:shd w:val="clear" w:color="auto" w:fill="FFFFFF"/>
        <w:spacing w:after="0"/>
        <w:rPr>
          <w:rFonts w:eastAsia="Times New Roman" w:cs="Times New Roman"/>
          <w:color w:val="4A4A4A"/>
          <w:sz w:val="21"/>
          <w:szCs w:val="21"/>
          <w:lang w:val="es-MX" w:eastAsia="en-GB"/>
        </w:rPr>
      </w:pPr>
    </w:p>
    <w:p w14:paraId="12E0D73A" w14:textId="6A45A896" w:rsidR="00B31E2C" w:rsidRPr="004A2E21" w:rsidRDefault="00B31E2C" w:rsidP="00EA05D3">
      <w:pPr>
        <w:pStyle w:val="MHeader"/>
        <w:rPr>
          <w:lang w:val="es-MX"/>
        </w:rPr>
      </w:pPr>
      <w:bookmarkStart w:id="15" w:name="_Toc37932744"/>
      <w:bookmarkStart w:id="16" w:name="_Toc36813072"/>
      <w:bookmarkStart w:id="17" w:name="_Toc36812685"/>
      <w:bookmarkStart w:id="18" w:name="_Toc36812572"/>
      <w:bookmarkStart w:id="19" w:name="_Toc36655609"/>
      <w:r w:rsidRPr="004A2E21">
        <w:rPr>
          <w:lang w:val="es-MX"/>
        </w:rPr>
        <w:t xml:space="preserve">1. </w:t>
      </w:r>
      <w:bookmarkStart w:id="20" w:name="_Hlk196759738"/>
      <w:r w:rsidR="004A2E21" w:rsidRPr="004A2E21">
        <w:rPr>
          <w:lang w:val="es-MX"/>
        </w:rPr>
        <w:t>Proveedor de datos</w:t>
      </w:r>
      <w:r w:rsidRPr="004A2E21">
        <w:rPr>
          <w:lang w:val="es-MX"/>
        </w:rPr>
        <w:t xml:space="preserve"> </w:t>
      </w:r>
      <w:bookmarkEnd w:id="15"/>
      <w:bookmarkEnd w:id="16"/>
      <w:bookmarkEnd w:id="17"/>
      <w:bookmarkEnd w:id="18"/>
      <w:bookmarkEnd w:id="19"/>
      <w:bookmarkEnd w:id="20"/>
      <w:r w:rsidRPr="004A2E21">
        <w:rPr>
          <w:color w:val="B4B4B4"/>
          <w:sz w:val="20"/>
          <w:lang w:val="es-MX"/>
        </w:rPr>
        <w:t>(CONTACT)</w:t>
      </w:r>
    </w:p>
    <w:p w14:paraId="0BD77982" w14:textId="377A124B" w:rsidR="00576CFA" w:rsidRPr="004A2E21" w:rsidRDefault="00576CFA" w:rsidP="00F719A8">
      <w:pPr>
        <w:pStyle w:val="MHeader2"/>
        <w:rPr>
          <w:lang w:val="es-MX"/>
        </w:rPr>
      </w:pPr>
      <w:r w:rsidRPr="004A2E21">
        <w:rPr>
          <w:lang w:val="es-MX"/>
        </w:rPr>
        <w:t xml:space="preserve">1.a. </w:t>
      </w:r>
      <w:bookmarkStart w:id="21" w:name="_Hlk196759745"/>
      <w:r w:rsidRPr="004A2E21">
        <w:rPr>
          <w:lang w:val="es-MX"/>
        </w:rPr>
        <w:t>Organi</w:t>
      </w:r>
      <w:r w:rsidR="004A2E21" w:rsidRPr="004A2E21">
        <w:rPr>
          <w:lang w:val="es-MX"/>
        </w:rPr>
        <w:t>zación</w:t>
      </w:r>
      <w:bookmarkEnd w:id="21"/>
      <w:r w:rsidRPr="004A2E21">
        <w:rPr>
          <w:lang w:val="es-MX"/>
        </w:rPr>
        <w:t xml:space="preserve"> </w:t>
      </w:r>
      <w:r w:rsidRPr="004A2E21">
        <w:rPr>
          <w:color w:val="B4B4B4"/>
          <w:sz w:val="20"/>
          <w:lang w:val="es-MX"/>
        </w:rPr>
        <w:t>(CONTACT_ORGANISATION)</w:t>
      </w:r>
    </w:p>
    <w:p w14:paraId="51B8A557" w14:textId="7FD12795" w:rsidR="00B3115D" w:rsidRPr="004A2E21" w:rsidRDefault="004A2E21" w:rsidP="00576CFA">
      <w:pPr>
        <w:pStyle w:val="MText"/>
        <w:rPr>
          <w:lang w:val="es-MX"/>
        </w:rPr>
      </w:pPr>
      <w:hyperlink r:id="rId11" w:history="1">
        <w:r w:rsidRPr="004A2E21">
          <w:rPr>
            <w:rStyle w:val="Hipervnculo"/>
            <w:lang w:val="es-MX"/>
          </w:rPr>
          <w:t>Oficina de Naciones Unidas contra la Droga y el Delito</w:t>
        </w:r>
      </w:hyperlink>
      <w:r>
        <w:rPr>
          <w:lang w:val="es-MX"/>
        </w:rPr>
        <w:t xml:space="preserve"> </w:t>
      </w:r>
      <w:r w:rsidR="00B3115D" w:rsidRPr="004A2E21">
        <w:rPr>
          <w:lang w:val="es-MX"/>
        </w:rPr>
        <w:t>(UNODC)</w:t>
      </w:r>
    </w:p>
    <w:p w14:paraId="6E829FD0" w14:textId="2439F30A" w:rsidR="00F719A8" w:rsidRPr="004A2E21" w:rsidRDefault="00F719A8" w:rsidP="00576CFA">
      <w:pPr>
        <w:pStyle w:val="MText"/>
        <w:rPr>
          <w:lang w:val="es-MX"/>
        </w:rPr>
      </w:pPr>
    </w:p>
    <w:p w14:paraId="14915AC8" w14:textId="43830B52" w:rsidR="00B31E2C" w:rsidRPr="0063163D" w:rsidRDefault="00B31E2C" w:rsidP="008B0AC7">
      <w:pPr>
        <w:pStyle w:val="MHeader"/>
        <w:rPr>
          <w:lang w:val="es-MX"/>
        </w:rPr>
      </w:pPr>
      <w:r w:rsidRPr="0063163D">
        <w:rPr>
          <w:lang w:val="es-MX"/>
        </w:rPr>
        <w:t xml:space="preserve">2. </w:t>
      </w:r>
      <w:bookmarkStart w:id="22" w:name="_Hlk196759752"/>
      <w:r w:rsidRPr="0063163D">
        <w:rPr>
          <w:lang w:val="es-MX"/>
        </w:rPr>
        <w:t>Defini</w:t>
      </w:r>
      <w:r w:rsidR="0063163D" w:rsidRPr="0063163D">
        <w:rPr>
          <w:lang w:val="es-MX"/>
        </w:rPr>
        <w:t>ción</w:t>
      </w:r>
      <w:r w:rsidRPr="0063163D">
        <w:rPr>
          <w:lang w:val="es-MX"/>
        </w:rPr>
        <w:t>, concept</w:t>
      </w:r>
      <w:r w:rsidR="0063163D" w:rsidRPr="0063163D">
        <w:rPr>
          <w:lang w:val="es-MX"/>
        </w:rPr>
        <w:t>o</w:t>
      </w:r>
      <w:r w:rsidRPr="0063163D">
        <w:rPr>
          <w:lang w:val="es-MX"/>
        </w:rPr>
        <w:t>s</w:t>
      </w:r>
      <w:r w:rsidR="0063163D" w:rsidRPr="0063163D">
        <w:rPr>
          <w:lang w:val="es-MX"/>
        </w:rPr>
        <w:t xml:space="preserve"> y</w:t>
      </w:r>
      <w:r w:rsidRPr="0063163D">
        <w:rPr>
          <w:lang w:val="es-MX"/>
        </w:rPr>
        <w:t xml:space="preserve"> clasifica</w:t>
      </w:r>
      <w:r w:rsidR="0063163D" w:rsidRPr="0063163D">
        <w:rPr>
          <w:lang w:val="es-MX"/>
        </w:rPr>
        <w:t>c</w:t>
      </w:r>
      <w:r w:rsidRPr="0063163D">
        <w:rPr>
          <w:lang w:val="es-MX"/>
        </w:rPr>
        <w:t>ion</w:t>
      </w:r>
      <w:r w:rsidR="0063163D" w:rsidRPr="0063163D">
        <w:rPr>
          <w:lang w:val="es-MX"/>
        </w:rPr>
        <w:t>e</w:t>
      </w:r>
      <w:r w:rsidRPr="0063163D">
        <w:rPr>
          <w:lang w:val="es-MX"/>
        </w:rPr>
        <w:t xml:space="preserve">s </w:t>
      </w:r>
      <w:bookmarkEnd w:id="22"/>
      <w:r w:rsidRPr="0063163D">
        <w:rPr>
          <w:color w:val="B4B4B4"/>
          <w:sz w:val="20"/>
          <w:lang w:val="es-MX"/>
        </w:rPr>
        <w:t>(IND_DEF_CON_CLASS)</w:t>
      </w:r>
    </w:p>
    <w:p w14:paraId="2AC373EA" w14:textId="263BE5C5" w:rsidR="008B0AC7" w:rsidRPr="0063163D" w:rsidRDefault="008B0AC7" w:rsidP="00F719A8">
      <w:pPr>
        <w:pStyle w:val="MHeader2"/>
        <w:rPr>
          <w:lang w:val="es-MX"/>
        </w:rPr>
      </w:pPr>
      <w:r w:rsidRPr="0063163D">
        <w:rPr>
          <w:lang w:val="es-MX"/>
        </w:rPr>
        <w:t xml:space="preserve">2.a. </w:t>
      </w:r>
      <w:bookmarkStart w:id="23" w:name="_Hlk196759758"/>
      <w:r w:rsidRPr="0063163D">
        <w:rPr>
          <w:lang w:val="es-MX"/>
        </w:rPr>
        <w:t>Defini</w:t>
      </w:r>
      <w:r w:rsidR="0063163D" w:rsidRPr="0063163D">
        <w:rPr>
          <w:lang w:val="es-MX"/>
        </w:rPr>
        <w:t>ción</w:t>
      </w:r>
      <w:r w:rsidRPr="0063163D">
        <w:rPr>
          <w:lang w:val="es-MX"/>
        </w:rPr>
        <w:t xml:space="preserve"> </w:t>
      </w:r>
      <w:r w:rsidR="0063163D" w:rsidRPr="0063163D">
        <w:rPr>
          <w:lang w:val="es-MX"/>
        </w:rPr>
        <w:t>y</w:t>
      </w:r>
      <w:r w:rsidRPr="0063163D">
        <w:rPr>
          <w:lang w:val="es-MX"/>
        </w:rPr>
        <w:t xml:space="preserve"> concept</w:t>
      </w:r>
      <w:r w:rsidR="0063163D" w:rsidRPr="0063163D">
        <w:rPr>
          <w:lang w:val="es-MX"/>
        </w:rPr>
        <w:t>o</w:t>
      </w:r>
      <w:r w:rsidRPr="0063163D">
        <w:rPr>
          <w:lang w:val="es-MX"/>
        </w:rPr>
        <w:t xml:space="preserve">s </w:t>
      </w:r>
      <w:bookmarkEnd w:id="23"/>
      <w:r w:rsidRPr="0063163D">
        <w:rPr>
          <w:color w:val="B4B4B4"/>
          <w:sz w:val="20"/>
          <w:lang w:val="es-MX"/>
        </w:rPr>
        <w:t>(STAT_CONC_DEF)</w:t>
      </w:r>
    </w:p>
    <w:p w14:paraId="69F38F3D" w14:textId="3C1BF903" w:rsidR="00B3115D" w:rsidRPr="00F36079" w:rsidRDefault="00B3115D" w:rsidP="00B3115D">
      <w:pPr>
        <w:shd w:val="clear" w:color="auto" w:fill="FFFFFF"/>
        <w:spacing w:after="0"/>
        <w:rPr>
          <w:rFonts w:eastAsia="Times New Roman" w:cs="Times New Roman"/>
          <w:color w:val="4A4A4A"/>
          <w:sz w:val="21"/>
          <w:szCs w:val="21"/>
          <w:lang w:val="es-MX" w:eastAsia="en-GB"/>
        </w:rPr>
      </w:pPr>
      <w:bookmarkStart w:id="24" w:name="_Hlk196760017"/>
      <w:r w:rsidRPr="00F36079">
        <w:rPr>
          <w:rFonts w:eastAsia="Times New Roman" w:cs="Times New Roman"/>
          <w:b/>
          <w:bCs/>
          <w:color w:val="4A4A4A"/>
          <w:sz w:val="21"/>
          <w:szCs w:val="21"/>
          <w:lang w:val="es-MX" w:eastAsia="en-GB"/>
        </w:rPr>
        <w:t>Defini</w:t>
      </w:r>
      <w:r w:rsidR="0063163D" w:rsidRPr="00F36079">
        <w:rPr>
          <w:rFonts w:eastAsia="Times New Roman" w:cs="Times New Roman"/>
          <w:b/>
          <w:bCs/>
          <w:color w:val="4A4A4A"/>
          <w:sz w:val="21"/>
          <w:szCs w:val="21"/>
          <w:lang w:val="es-MX" w:eastAsia="en-GB"/>
        </w:rPr>
        <w:t>ción</w:t>
      </w:r>
      <w:r w:rsidRPr="00F36079">
        <w:rPr>
          <w:rFonts w:eastAsia="Times New Roman" w:cs="Times New Roman"/>
          <w:b/>
          <w:bCs/>
          <w:color w:val="4A4A4A"/>
          <w:sz w:val="21"/>
          <w:szCs w:val="21"/>
          <w:lang w:val="es-MX" w:eastAsia="en-GB"/>
        </w:rPr>
        <w:t>:</w:t>
      </w:r>
    </w:p>
    <w:bookmarkEnd w:id="24"/>
    <w:p w14:paraId="69E523A4" w14:textId="6E83DABF" w:rsidR="00B3115D" w:rsidRPr="0013082E" w:rsidRDefault="0013082E" w:rsidP="00B3115D">
      <w:pPr>
        <w:shd w:val="clear" w:color="auto" w:fill="FFFFFF"/>
        <w:spacing w:after="0"/>
        <w:rPr>
          <w:rFonts w:eastAsia="Times New Roman" w:cs="Times New Roman"/>
          <w:color w:val="4A4A4A"/>
          <w:sz w:val="21"/>
          <w:szCs w:val="21"/>
          <w:lang w:val="es-MX" w:eastAsia="en-GB"/>
        </w:rPr>
      </w:pPr>
      <w:r w:rsidRPr="0013082E">
        <w:rPr>
          <w:rFonts w:eastAsia="Times New Roman" w:cs="Times New Roman"/>
          <w:color w:val="4A4A4A"/>
          <w:sz w:val="21"/>
          <w:szCs w:val="21"/>
          <w:lang w:val="es-MX" w:eastAsia="en-GB"/>
        </w:rPr>
        <w:t>Número total de personas detenidas que aún no han sido condenadas, en porcentaje del número total de personas detenidas, en una fecha determinada.</w:t>
      </w:r>
    </w:p>
    <w:p w14:paraId="16953906" w14:textId="77777777" w:rsidR="00B3115D" w:rsidRPr="0013082E" w:rsidRDefault="00B3115D" w:rsidP="00B3115D">
      <w:pPr>
        <w:shd w:val="clear" w:color="auto" w:fill="FFFFFF"/>
        <w:spacing w:after="0"/>
        <w:rPr>
          <w:rFonts w:eastAsia="Times New Roman" w:cs="Times New Roman"/>
          <w:color w:val="4A4A4A"/>
          <w:sz w:val="21"/>
          <w:szCs w:val="21"/>
          <w:lang w:val="es-MX" w:eastAsia="en-GB"/>
        </w:rPr>
      </w:pPr>
    </w:p>
    <w:p w14:paraId="75B96AFA" w14:textId="182CC06F" w:rsidR="00B3115D" w:rsidRPr="00F36079" w:rsidRDefault="00B3115D" w:rsidP="00B3115D">
      <w:pPr>
        <w:shd w:val="clear" w:color="auto" w:fill="FFFFFF"/>
        <w:spacing w:after="0"/>
        <w:rPr>
          <w:rFonts w:eastAsia="Times New Roman" w:cs="Times New Roman"/>
          <w:color w:val="4A4A4A"/>
          <w:sz w:val="21"/>
          <w:szCs w:val="21"/>
          <w:lang w:val="es-MX" w:eastAsia="en-GB"/>
        </w:rPr>
      </w:pPr>
      <w:bookmarkStart w:id="25" w:name="_Hlk196760023"/>
      <w:r w:rsidRPr="00F36079">
        <w:rPr>
          <w:rFonts w:eastAsia="Times New Roman" w:cs="Times New Roman"/>
          <w:b/>
          <w:bCs/>
          <w:color w:val="4A4A4A"/>
          <w:sz w:val="21"/>
          <w:szCs w:val="21"/>
          <w:lang w:val="es-MX" w:eastAsia="en-GB"/>
        </w:rPr>
        <w:t>Concept</w:t>
      </w:r>
      <w:r w:rsidR="0063163D" w:rsidRPr="00F36079">
        <w:rPr>
          <w:rFonts w:eastAsia="Times New Roman" w:cs="Times New Roman"/>
          <w:b/>
          <w:bCs/>
          <w:color w:val="4A4A4A"/>
          <w:sz w:val="21"/>
          <w:szCs w:val="21"/>
          <w:lang w:val="es-MX" w:eastAsia="en-GB"/>
        </w:rPr>
        <w:t>o</w:t>
      </w:r>
      <w:r w:rsidRPr="00F36079">
        <w:rPr>
          <w:rFonts w:eastAsia="Times New Roman" w:cs="Times New Roman"/>
          <w:b/>
          <w:bCs/>
          <w:color w:val="4A4A4A"/>
          <w:sz w:val="21"/>
          <w:szCs w:val="21"/>
          <w:lang w:val="es-MX" w:eastAsia="en-GB"/>
        </w:rPr>
        <w:t>s:</w:t>
      </w:r>
    </w:p>
    <w:bookmarkEnd w:id="25"/>
    <w:p w14:paraId="75C5D73B" w14:textId="2E18B4E6" w:rsidR="0013082E" w:rsidRDefault="0013082E" w:rsidP="0013082E">
      <w:pPr>
        <w:spacing w:after="0"/>
        <w:rPr>
          <w:rFonts w:eastAsia="Times New Roman" w:cs="Times New Roman"/>
          <w:color w:val="333333"/>
          <w:sz w:val="21"/>
          <w:szCs w:val="21"/>
          <w:lang w:val="es-MX" w:eastAsia="en-GB"/>
        </w:rPr>
      </w:pPr>
      <w:r w:rsidRPr="0013082E">
        <w:rPr>
          <w:rFonts w:eastAsia="Times New Roman" w:cs="Times New Roman"/>
          <w:color w:val="333333"/>
          <w:sz w:val="21"/>
          <w:szCs w:val="21"/>
          <w:u w:val="single"/>
          <w:lang w:val="es-MX" w:eastAsia="en-GB"/>
        </w:rPr>
        <w:t xml:space="preserve">Las </w:t>
      </w:r>
      <w:r>
        <w:rPr>
          <w:rFonts w:eastAsia="Times New Roman" w:cs="Times New Roman"/>
          <w:color w:val="333333"/>
          <w:sz w:val="21"/>
          <w:szCs w:val="21"/>
          <w:u w:val="single"/>
          <w:lang w:val="es-MX" w:eastAsia="en-GB"/>
        </w:rPr>
        <w:t>“</w:t>
      </w:r>
      <w:r w:rsidRPr="0013082E">
        <w:rPr>
          <w:rFonts w:eastAsia="Times New Roman" w:cs="Times New Roman"/>
          <w:color w:val="333333"/>
          <w:sz w:val="21"/>
          <w:szCs w:val="21"/>
          <w:u w:val="single"/>
          <w:lang w:val="es-MX" w:eastAsia="en-GB"/>
        </w:rPr>
        <w:t>personas detenidas</w:t>
      </w:r>
      <w:r>
        <w:rPr>
          <w:rFonts w:eastAsia="Times New Roman" w:cs="Times New Roman"/>
          <w:color w:val="333333"/>
          <w:sz w:val="21"/>
          <w:szCs w:val="21"/>
          <w:u w:val="single"/>
          <w:lang w:val="es-MX" w:eastAsia="en-GB"/>
        </w:rPr>
        <w:t>”</w:t>
      </w:r>
      <w:r w:rsidRPr="0013082E">
        <w:rPr>
          <w:rFonts w:eastAsia="Times New Roman" w:cs="Times New Roman"/>
          <w:color w:val="333333"/>
          <w:sz w:val="21"/>
          <w:szCs w:val="21"/>
          <w:lang w:val="es-MX" w:eastAsia="en-GB"/>
        </w:rPr>
        <w:t xml:space="preserve"> se refieren a las personas recluidas en Prisiones, Instituciones Penitenciarias o Instituciones Correccionales en un día determinado y deben excluir a los presos no delincuentes recluidos </w:t>
      </w:r>
      <w:r w:rsidRPr="0013082E">
        <w:rPr>
          <w:rFonts w:eastAsia="Times New Roman" w:cs="Times New Roman"/>
          <w:color w:val="333333"/>
          <w:sz w:val="21"/>
          <w:szCs w:val="21"/>
          <w:lang w:val="es-MX" w:eastAsia="en-GB"/>
        </w:rPr>
        <w:lastRenderedPageBreak/>
        <w:t>por motivos administrativos, por ejemplo, las personas recluidas a la espera de que se investigue su situación en materia de inmigración o los ciudadanos extranjeros sin derecho legal de estancia. Asimismo, deben excluirse de la población reclusa (personas recluidas en prisión) las personas en arresto domiciliario y las personas sometidas a otras formas de sanción o supervisión, como la vigilancia electrónica o la vigilancia basada en la comunidad.</w:t>
      </w:r>
    </w:p>
    <w:p w14:paraId="345578D7" w14:textId="77777777" w:rsidR="007A4537" w:rsidRPr="0013082E" w:rsidRDefault="007A4537" w:rsidP="0013082E">
      <w:pPr>
        <w:spacing w:after="0"/>
        <w:rPr>
          <w:rFonts w:eastAsia="Times New Roman" w:cs="Times New Roman"/>
          <w:color w:val="333333"/>
          <w:sz w:val="21"/>
          <w:szCs w:val="21"/>
          <w:lang w:val="es-MX" w:eastAsia="en-GB"/>
        </w:rPr>
      </w:pPr>
    </w:p>
    <w:p w14:paraId="5E8E6481" w14:textId="29E2A4EF" w:rsidR="0048644A" w:rsidRDefault="0013082E" w:rsidP="009F70AD">
      <w:pPr>
        <w:spacing w:after="0"/>
        <w:rPr>
          <w:rFonts w:eastAsia="Times New Roman" w:cs="Times New Roman"/>
          <w:color w:val="333333"/>
          <w:sz w:val="21"/>
          <w:szCs w:val="21"/>
          <w:lang w:val="es-MX" w:eastAsia="en-GB"/>
        </w:rPr>
      </w:pPr>
      <w:r w:rsidRPr="0013082E">
        <w:rPr>
          <w:rFonts w:eastAsia="Times New Roman" w:cs="Times New Roman"/>
          <w:color w:val="333333"/>
          <w:sz w:val="21"/>
          <w:szCs w:val="21"/>
          <w:u w:val="single"/>
          <w:lang w:val="es-MX" w:eastAsia="en-GB"/>
        </w:rPr>
        <w:t>“Sentenciados”</w:t>
      </w:r>
      <w:r>
        <w:rPr>
          <w:rFonts w:eastAsia="Times New Roman" w:cs="Times New Roman"/>
          <w:color w:val="333333"/>
          <w:sz w:val="21"/>
          <w:szCs w:val="21"/>
          <w:lang w:val="es-MX" w:eastAsia="en-GB"/>
        </w:rPr>
        <w:t xml:space="preserve"> </w:t>
      </w:r>
      <w:r w:rsidRPr="0013082E">
        <w:rPr>
          <w:rFonts w:eastAsia="Times New Roman" w:cs="Times New Roman"/>
          <w:color w:val="333333"/>
          <w:sz w:val="21"/>
          <w:szCs w:val="21"/>
          <w:lang w:val="es-MX" w:eastAsia="en-GB"/>
        </w:rPr>
        <w:t xml:space="preserve">se refiere a las personas recluidas en prisiones, instituciones penales o correccionales después de que una autoridad competente haya dictado una decisión en primera instancia o una decisión definitiva sobre su caso. Esto incluye a los presos condenados con una decisión definitiva y a las personas retenidas que están a la espera del resultado de una apelación con respecto al veredicto o la sentencia o que están dentro de los límites legales para </w:t>
      </w:r>
      <w:proofErr w:type="gramStart"/>
      <w:r w:rsidRPr="0013082E">
        <w:rPr>
          <w:rFonts w:eastAsia="Times New Roman" w:cs="Times New Roman"/>
          <w:color w:val="333333"/>
          <w:sz w:val="21"/>
          <w:szCs w:val="21"/>
          <w:lang w:val="es-MX" w:eastAsia="en-GB"/>
        </w:rPr>
        <w:t>apelar .</w:t>
      </w:r>
      <w:proofErr w:type="gramEnd"/>
      <w:r w:rsidRPr="0013082E">
        <w:rPr>
          <w:rFonts w:eastAsia="Times New Roman" w:cs="Times New Roman"/>
          <w:color w:val="333333"/>
          <w:sz w:val="21"/>
          <w:szCs w:val="21"/>
          <w:lang w:val="es-MX" w:eastAsia="en-GB"/>
        </w:rPr>
        <w:t xml:space="preserve"> Las personas retenidas que han recibido una pena privativa de libertad por un delito, pero que aún están siendo juzgadas y no han sido condenadas por otro delito, deben contabilizarse como personas condenadas retenidas.  Además, a efectos de comparabilidad internacional, las personas retenidas que han sido condenadas por un delito (en una decisión en primera instancia) pero que aún no han recibido una sentencia también deben ser tratadas como </w:t>
      </w:r>
      <w:r>
        <w:rPr>
          <w:rFonts w:eastAsia="Times New Roman" w:cs="Times New Roman"/>
          <w:color w:val="333333"/>
          <w:sz w:val="21"/>
          <w:szCs w:val="21"/>
          <w:lang w:val="es-MX" w:eastAsia="en-GB"/>
        </w:rPr>
        <w:t>“sentenciadas”</w:t>
      </w:r>
      <w:r w:rsidRPr="0013082E">
        <w:rPr>
          <w:rFonts w:eastAsia="Times New Roman" w:cs="Times New Roman"/>
          <w:color w:val="333333"/>
          <w:sz w:val="21"/>
          <w:szCs w:val="21"/>
          <w:lang w:val="es-MX" w:eastAsia="en-GB"/>
        </w:rPr>
        <w:t xml:space="preserve">, incluso si las definiciones nacionales de detenidos </w:t>
      </w:r>
      <w:r>
        <w:rPr>
          <w:rFonts w:eastAsia="Times New Roman" w:cs="Times New Roman"/>
          <w:color w:val="333333"/>
          <w:sz w:val="21"/>
          <w:szCs w:val="21"/>
          <w:lang w:val="es-MX" w:eastAsia="en-GB"/>
        </w:rPr>
        <w:t>sentenciados</w:t>
      </w:r>
      <w:r w:rsidRPr="0013082E">
        <w:rPr>
          <w:rFonts w:eastAsia="Times New Roman" w:cs="Times New Roman"/>
          <w:color w:val="333333"/>
          <w:sz w:val="21"/>
          <w:szCs w:val="21"/>
          <w:lang w:val="es-MX" w:eastAsia="en-GB"/>
        </w:rPr>
        <w:t xml:space="preserve"> son más restringidas.</w:t>
      </w:r>
    </w:p>
    <w:p w14:paraId="4DCA23C1" w14:textId="77777777" w:rsidR="0013082E" w:rsidRPr="0013082E" w:rsidRDefault="0013082E" w:rsidP="009F70AD">
      <w:pPr>
        <w:spacing w:after="0"/>
        <w:rPr>
          <w:rFonts w:eastAsia="Times New Roman" w:cs="Times New Roman"/>
          <w:color w:val="333333"/>
          <w:sz w:val="21"/>
          <w:szCs w:val="21"/>
          <w:lang w:val="es-MX" w:eastAsia="en-GB"/>
        </w:rPr>
      </w:pPr>
    </w:p>
    <w:p w14:paraId="374F446C" w14:textId="3A652DCF" w:rsidR="004B2FF1" w:rsidRPr="0013082E" w:rsidRDefault="0013082E" w:rsidP="00763F7F">
      <w:pPr>
        <w:spacing w:after="0"/>
        <w:rPr>
          <w:rFonts w:eastAsia="Times New Roman" w:cs="Times New Roman"/>
          <w:color w:val="333333"/>
          <w:sz w:val="21"/>
          <w:szCs w:val="21"/>
          <w:lang w:val="es-MX" w:eastAsia="en-GB"/>
        </w:rPr>
      </w:pPr>
      <w:r w:rsidRPr="0013082E">
        <w:rPr>
          <w:rFonts w:eastAsia="Times New Roman" w:cs="Times New Roman"/>
          <w:color w:val="333333"/>
          <w:sz w:val="21"/>
          <w:szCs w:val="21"/>
          <w:lang w:val="es-MX" w:eastAsia="en-GB"/>
        </w:rPr>
        <w:t xml:space="preserve">Por </w:t>
      </w:r>
      <w:r w:rsidRPr="0013082E">
        <w:rPr>
          <w:rFonts w:eastAsia="Times New Roman" w:cs="Times New Roman"/>
          <w:color w:val="333333"/>
          <w:sz w:val="21"/>
          <w:szCs w:val="21"/>
          <w:u w:val="single"/>
          <w:lang w:val="es-MX" w:eastAsia="en-GB"/>
        </w:rPr>
        <w:t>“sin sentencia”</w:t>
      </w:r>
      <w:r w:rsidRPr="0013082E">
        <w:rPr>
          <w:rFonts w:eastAsia="Times New Roman" w:cs="Times New Roman"/>
          <w:color w:val="333333"/>
          <w:sz w:val="21"/>
          <w:szCs w:val="21"/>
          <w:lang w:val="es-MX" w:eastAsia="en-GB"/>
        </w:rPr>
        <w:t xml:space="preserve"> se entiende las personas recluidas en prisiones, instituciones penales o correccionales que no han sido juzgadas, están en prisión preventiva o a la espera de que una autoridad competente dicte una resolución en primera instancia sobre su caso en relación con su condena o absolución. Deben incluirse las personas retenidas antes y durante el juicio. Deben excluirse las personas sentenciadas retenidas a la espera del resultado de una apelación con respecto al veredicto o la sentencia o que se encuentren dentro de los límites legales para apelar su sentencia.</w:t>
      </w:r>
    </w:p>
    <w:p w14:paraId="038CCF49" w14:textId="77777777" w:rsidR="004B2FF1" w:rsidRPr="0013082E" w:rsidRDefault="004B2FF1" w:rsidP="00576CFA">
      <w:pPr>
        <w:pStyle w:val="MText"/>
        <w:rPr>
          <w:lang w:val="es-MX"/>
        </w:rPr>
      </w:pPr>
    </w:p>
    <w:p w14:paraId="7932F8BD" w14:textId="10A67208" w:rsidR="008B0AC7" w:rsidRPr="0063163D" w:rsidRDefault="00576CFA" w:rsidP="00F719A8">
      <w:pPr>
        <w:pStyle w:val="MHeader2"/>
        <w:rPr>
          <w:lang w:val="es-MX"/>
        </w:rPr>
      </w:pPr>
      <w:r w:rsidRPr="0063163D">
        <w:rPr>
          <w:lang w:val="es-MX"/>
        </w:rPr>
        <w:t xml:space="preserve">2.b. </w:t>
      </w:r>
      <w:bookmarkStart w:id="26" w:name="_Hlk196761291"/>
      <w:bookmarkStart w:id="27" w:name="_Hlk196759769"/>
      <w:r w:rsidRPr="0063163D">
        <w:rPr>
          <w:lang w:val="es-MX"/>
        </w:rPr>
        <w:t>Uni</w:t>
      </w:r>
      <w:r w:rsidR="0063163D" w:rsidRPr="0063163D">
        <w:rPr>
          <w:lang w:val="es-MX"/>
        </w:rPr>
        <w:t>dad</w:t>
      </w:r>
      <w:r w:rsidRPr="0063163D">
        <w:rPr>
          <w:lang w:val="es-MX"/>
        </w:rPr>
        <w:t xml:space="preserve"> </w:t>
      </w:r>
      <w:r w:rsidR="0063163D" w:rsidRPr="0063163D">
        <w:rPr>
          <w:lang w:val="es-MX"/>
        </w:rPr>
        <w:t>de</w:t>
      </w:r>
      <w:r w:rsidRPr="0063163D">
        <w:rPr>
          <w:lang w:val="es-MX"/>
        </w:rPr>
        <w:t xml:space="preserve"> me</w:t>
      </w:r>
      <w:r w:rsidR="0063163D" w:rsidRPr="0063163D">
        <w:rPr>
          <w:lang w:val="es-MX"/>
        </w:rPr>
        <w:t>dida</w:t>
      </w:r>
      <w:bookmarkEnd w:id="26"/>
      <w:r w:rsidRPr="0063163D">
        <w:rPr>
          <w:lang w:val="es-MX"/>
        </w:rPr>
        <w:t xml:space="preserve"> </w:t>
      </w:r>
      <w:bookmarkEnd w:id="27"/>
      <w:r w:rsidRPr="0063163D">
        <w:rPr>
          <w:color w:val="B4B4B4"/>
          <w:sz w:val="20"/>
          <w:lang w:val="es-MX"/>
        </w:rPr>
        <w:t>(UNIT_MEASURE)</w:t>
      </w:r>
    </w:p>
    <w:p w14:paraId="548E9AAA" w14:textId="37AC7427" w:rsidR="00EC2915" w:rsidRPr="0063163D" w:rsidRDefault="001B46BB" w:rsidP="00576CFA">
      <w:pPr>
        <w:pStyle w:val="MText"/>
        <w:rPr>
          <w:lang w:val="es-MX"/>
        </w:rPr>
      </w:pPr>
      <w:r w:rsidRPr="0063163D">
        <w:rPr>
          <w:lang w:val="es-MX"/>
        </w:rPr>
        <w:t>P</w:t>
      </w:r>
      <w:r w:rsidR="0063163D" w:rsidRPr="0063163D">
        <w:rPr>
          <w:lang w:val="es-MX"/>
        </w:rPr>
        <w:t>orcentaje</w:t>
      </w:r>
      <w:r w:rsidRPr="0063163D">
        <w:rPr>
          <w:lang w:val="es-MX"/>
        </w:rPr>
        <w:t xml:space="preserve"> (%)</w:t>
      </w:r>
    </w:p>
    <w:p w14:paraId="0F220B1B" w14:textId="77777777" w:rsidR="001B46BB" w:rsidRPr="0063163D" w:rsidRDefault="001B46BB" w:rsidP="00576CFA">
      <w:pPr>
        <w:pStyle w:val="MText"/>
        <w:rPr>
          <w:lang w:val="es-MX"/>
        </w:rPr>
      </w:pPr>
    </w:p>
    <w:p w14:paraId="651AA7AC" w14:textId="32E8F84A" w:rsidR="00DA615C" w:rsidRPr="00F36079" w:rsidRDefault="008B0AC7" w:rsidP="00F719A8">
      <w:pPr>
        <w:pStyle w:val="MHeader2"/>
        <w:rPr>
          <w:lang w:val="es-MX"/>
        </w:rPr>
      </w:pPr>
      <w:r w:rsidRPr="00F36079">
        <w:rPr>
          <w:lang w:val="es-MX"/>
        </w:rPr>
        <w:t xml:space="preserve">2.c. </w:t>
      </w:r>
      <w:bookmarkStart w:id="28" w:name="_Hlk196759776"/>
      <w:r w:rsidRPr="00F36079">
        <w:rPr>
          <w:lang w:val="es-MX"/>
        </w:rPr>
        <w:t>Clas</w:t>
      </w:r>
      <w:r w:rsidR="0063163D" w:rsidRPr="00F36079">
        <w:rPr>
          <w:lang w:val="es-MX"/>
        </w:rPr>
        <w:t>ificaciones</w:t>
      </w:r>
      <w:bookmarkEnd w:id="28"/>
      <w:r w:rsidRPr="00F36079">
        <w:rPr>
          <w:lang w:val="es-MX"/>
        </w:rPr>
        <w:t xml:space="preserve"> </w:t>
      </w:r>
      <w:r w:rsidRPr="00F36079">
        <w:rPr>
          <w:color w:val="B4B4B4"/>
          <w:sz w:val="20"/>
          <w:lang w:val="es-MX"/>
        </w:rPr>
        <w:t>(CLASS_SYSTEM)</w:t>
      </w:r>
    </w:p>
    <w:p w14:paraId="3D384BA8" w14:textId="474FDA9F" w:rsidR="00EC2915" w:rsidRPr="00F36079" w:rsidRDefault="009E58FD" w:rsidP="00576CFA">
      <w:pPr>
        <w:pStyle w:val="MText"/>
        <w:rPr>
          <w:lang w:val="es-MX"/>
        </w:rPr>
      </w:pPr>
      <w:r w:rsidRPr="00F36079">
        <w:rPr>
          <w:lang w:val="es-MX"/>
        </w:rPr>
        <w:t>No</w:t>
      </w:r>
      <w:r w:rsidR="0063163D" w:rsidRPr="00F36079">
        <w:rPr>
          <w:lang w:val="es-MX"/>
        </w:rPr>
        <w:t xml:space="preserve"> aplica. </w:t>
      </w:r>
    </w:p>
    <w:p w14:paraId="123172F4" w14:textId="77777777" w:rsidR="00F719A8" w:rsidRPr="00F36079" w:rsidRDefault="00F719A8" w:rsidP="00576CFA">
      <w:pPr>
        <w:pStyle w:val="MText"/>
        <w:rPr>
          <w:lang w:val="es-MX"/>
        </w:rPr>
      </w:pPr>
    </w:p>
    <w:p w14:paraId="1D3AEECA" w14:textId="6EFBF298" w:rsidR="00B31E2C" w:rsidRPr="0063163D" w:rsidRDefault="00B31E2C" w:rsidP="00F719A8">
      <w:pPr>
        <w:pStyle w:val="MHeader"/>
        <w:rPr>
          <w:lang w:val="es-MX"/>
        </w:rPr>
      </w:pPr>
      <w:r w:rsidRPr="0063163D">
        <w:rPr>
          <w:lang w:val="es-MX"/>
        </w:rPr>
        <w:t xml:space="preserve">3. </w:t>
      </w:r>
      <w:bookmarkStart w:id="29" w:name="_Hlk196759782"/>
      <w:r w:rsidR="0063163D" w:rsidRPr="0063163D">
        <w:rPr>
          <w:lang w:val="es-MX"/>
        </w:rPr>
        <w:t>Tipo de fuentes de datos y método de recolección</w:t>
      </w:r>
      <w:r w:rsidRPr="0063163D">
        <w:rPr>
          <w:lang w:val="es-MX"/>
        </w:rPr>
        <w:t xml:space="preserve"> </w:t>
      </w:r>
      <w:bookmarkEnd w:id="29"/>
      <w:r w:rsidRPr="0063163D">
        <w:rPr>
          <w:color w:val="B4B4B4"/>
          <w:sz w:val="20"/>
          <w:lang w:val="es-MX"/>
        </w:rPr>
        <w:t>(SRC_TYPE_COLL_METHOD)</w:t>
      </w:r>
    </w:p>
    <w:p w14:paraId="340B050E" w14:textId="3475780B" w:rsidR="008B0AC7" w:rsidRPr="0063163D" w:rsidRDefault="008B0AC7" w:rsidP="00F719A8">
      <w:pPr>
        <w:pStyle w:val="MHeader2"/>
        <w:rPr>
          <w:lang w:val="es-MX"/>
        </w:rPr>
      </w:pPr>
      <w:r w:rsidRPr="0063163D">
        <w:rPr>
          <w:lang w:val="es-MX"/>
        </w:rPr>
        <w:t xml:space="preserve">3.a. </w:t>
      </w:r>
      <w:bookmarkStart w:id="30" w:name="_Hlk196759788"/>
      <w:r w:rsidR="0063163D" w:rsidRPr="0063163D">
        <w:rPr>
          <w:lang w:val="es-MX"/>
        </w:rPr>
        <w:t>Fuentes de datos</w:t>
      </w:r>
      <w:r w:rsidRPr="0063163D">
        <w:rPr>
          <w:lang w:val="es-MX"/>
        </w:rPr>
        <w:t xml:space="preserve"> </w:t>
      </w:r>
      <w:bookmarkEnd w:id="30"/>
      <w:r w:rsidRPr="0063163D">
        <w:rPr>
          <w:color w:val="B4B4B4"/>
          <w:sz w:val="20"/>
          <w:lang w:val="es-MX"/>
        </w:rPr>
        <w:t>(SOURCE_TYPE)</w:t>
      </w:r>
    </w:p>
    <w:p w14:paraId="27ED5C22" w14:textId="588687B1" w:rsidR="0013082E" w:rsidRDefault="00681955" w:rsidP="0013082E">
      <w:pPr>
        <w:pStyle w:val="MText"/>
        <w:rPr>
          <w:lang w:val="es-MX"/>
        </w:rPr>
      </w:pPr>
      <w:r>
        <w:rPr>
          <w:lang w:val="es-MX"/>
        </w:rPr>
        <w:t>L</w:t>
      </w:r>
      <w:r w:rsidR="0013082E" w:rsidRPr="0013082E">
        <w:rPr>
          <w:lang w:val="es-MX"/>
        </w:rPr>
        <w:t>a UNODC recaba datos sobre las prisiones directamente de las autoridades penitenciarias nacionales a través de su recopilación anual de datos sobre delincuencia y justicia penal (</w:t>
      </w:r>
      <w:hyperlink r:id="rId12" w:history="1">
        <w:r w:rsidR="0013082E" w:rsidRPr="0013082E">
          <w:rPr>
            <w:rStyle w:val="Hipervnculo"/>
            <w:lang w:val="es-MX"/>
          </w:rPr>
          <w:t>Encuesta de las Naciones Unidas sobre tendencias delictivas y funcionamiento de los sistemas de justicia penal</w:t>
        </w:r>
      </w:hyperlink>
      <w:r w:rsidR="0013082E" w:rsidRPr="0013082E">
        <w:rPr>
          <w:lang w:val="es-MX"/>
        </w:rPr>
        <w:t xml:space="preserve">, UN-CTS). Además, la UNODC recopila datos sobre las prisiones de las Oficinas Nacionales de Estadística a través del ejercicio anual de validación previa a la publicación de los ODS. Además, los datos sobre prisiones se complementan periódicamente consultando datos nacionales recopilados por iniciativas de investigación independientes (como </w:t>
      </w:r>
      <w:hyperlink r:id="rId13" w:history="1">
        <w:r w:rsidR="0013082E" w:rsidRPr="0013082E">
          <w:rPr>
            <w:rStyle w:val="Hipervnculo"/>
            <w:lang w:val="es-MX"/>
          </w:rPr>
          <w:t>Informe Mundial sobre Prisiones</w:t>
        </w:r>
      </w:hyperlink>
      <w:r w:rsidR="0013082E" w:rsidRPr="0013082E">
        <w:rPr>
          <w:lang w:val="es-MX"/>
        </w:rPr>
        <w:t xml:space="preserve">) o fuentes no gubernamentales. </w:t>
      </w:r>
    </w:p>
    <w:p w14:paraId="6088AC1B" w14:textId="77777777" w:rsidR="00681955" w:rsidRPr="0013082E" w:rsidRDefault="00681955" w:rsidP="0013082E">
      <w:pPr>
        <w:pStyle w:val="MText"/>
        <w:rPr>
          <w:lang w:val="es-MX"/>
        </w:rPr>
      </w:pPr>
    </w:p>
    <w:p w14:paraId="1699CA9F" w14:textId="449F8DDB" w:rsidR="00C12F03" w:rsidRDefault="0013082E" w:rsidP="0013082E">
      <w:pPr>
        <w:pStyle w:val="MText"/>
        <w:rPr>
          <w:lang w:val="es-MX"/>
        </w:rPr>
      </w:pPr>
      <w:r w:rsidRPr="0013082E">
        <w:rPr>
          <w:lang w:val="es-MX"/>
        </w:rPr>
        <w:t xml:space="preserve">Los datos de población proceden de </w:t>
      </w:r>
      <w:hyperlink r:id="rId14" w:history="1">
        <w:r w:rsidR="00681955" w:rsidRPr="00681955">
          <w:rPr>
            <w:rStyle w:val="Hipervnculo"/>
            <w:lang w:val="es-MX"/>
          </w:rPr>
          <w:t>Perspectivas de la población mundial</w:t>
        </w:r>
      </w:hyperlink>
      <w:r w:rsidRPr="0013082E">
        <w:rPr>
          <w:lang w:val="es-MX"/>
        </w:rPr>
        <w:t>, División de Población, Departamento de Asuntos Económicos y Sociales de las Naciones Unidas.</w:t>
      </w:r>
    </w:p>
    <w:p w14:paraId="22AD40A2" w14:textId="77777777" w:rsidR="00681955" w:rsidRPr="0013082E" w:rsidRDefault="00681955" w:rsidP="0013082E">
      <w:pPr>
        <w:pStyle w:val="MText"/>
        <w:rPr>
          <w:lang w:val="es-MX"/>
        </w:rPr>
      </w:pPr>
    </w:p>
    <w:p w14:paraId="79368080" w14:textId="5BDFD62B" w:rsidR="008B0AC7" w:rsidRPr="0063163D" w:rsidRDefault="00576CFA" w:rsidP="00F719A8">
      <w:pPr>
        <w:pStyle w:val="MHeader2"/>
        <w:rPr>
          <w:lang w:val="es-MX"/>
        </w:rPr>
      </w:pPr>
      <w:r w:rsidRPr="0063163D">
        <w:rPr>
          <w:lang w:val="es-MX"/>
        </w:rPr>
        <w:t xml:space="preserve">3.b. </w:t>
      </w:r>
      <w:bookmarkStart w:id="31" w:name="_Hlk196759798"/>
      <w:r w:rsidR="0063163D" w:rsidRPr="0063163D">
        <w:rPr>
          <w:lang w:val="es-MX"/>
        </w:rPr>
        <w:t>Método de recolección de datos</w:t>
      </w:r>
      <w:r w:rsidRPr="0063163D">
        <w:rPr>
          <w:lang w:val="es-MX"/>
        </w:rPr>
        <w:t xml:space="preserve"> </w:t>
      </w:r>
      <w:bookmarkEnd w:id="31"/>
      <w:r w:rsidRPr="0063163D">
        <w:rPr>
          <w:color w:val="B4B4B4"/>
          <w:sz w:val="20"/>
          <w:lang w:val="es-MX"/>
        </w:rPr>
        <w:t>(COLL_METHOD)</w:t>
      </w:r>
    </w:p>
    <w:p w14:paraId="0CF27EC5" w14:textId="33030C82" w:rsidR="00681955" w:rsidRPr="00681955" w:rsidRDefault="00681955" w:rsidP="00576CFA">
      <w:pPr>
        <w:pStyle w:val="MText"/>
        <w:rPr>
          <w:lang w:val="es-MX"/>
        </w:rPr>
      </w:pPr>
      <w:r w:rsidRPr="00681955">
        <w:rPr>
          <w:lang w:val="es-MX"/>
        </w:rPr>
        <w:t xml:space="preserve">Existe un sistema consolidado de recolección anual de datos sobre delincuencia y justicia penal (UN-CTS) que representa la base de datos sobre detenidos sin condena. La recogida de datos </w:t>
      </w:r>
      <w:proofErr w:type="spellStart"/>
      <w:r w:rsidRPr="00681955">
        <w:rPr>
          <w:lang w:val="es-MX"/>
        </w:rPr>
        <w:t>del</w:t>
      </w:r>
      <w:proofErr w:type="spellEnd"/>
      <w:r w:rsidRPr="00681955">
        <w:rPr>
          <w:lang w:val="es-MX"/>
        </w:rPr>
        <w:t xml:space="preserve"> UN-CTS se basa en gran medida en la red de centros de coordinación nacionales, que son instituciones/funcionarios designados por los países y que tienen la capacidad técnica y la función de producir datos sobre delincuencia y justicia penal (alrededor de 200 centros de coordinación designados de más de 140 países/territorios en 2022). Además, estos datos se complementan, en el caso de los países en los que faltan valores, con datos oficiales recogidos por el Instituto de Investigación de Política Criminal (</w:t>
      </w:r>
      <w:proofErr w:type="spellStart"/>
      <w:r>
        <w:rPr>
          <w:lang w:val="es-MX"/>
        </w:rPr>
        <w:fldChar w:fldCharType="begin"/>
      </w:r>
      <w:r>
        <w:rPr>
          <w:lang w:val="es-MX"/>
        </w:rPr>
        <w:instrText>HYPERLINK "https://www.prisonstudies.org/"</w:instrText>
      </w:r>
      <w:r>
        <w:rPr>
          <w:lang w:val="es-MX"/>
        </w:rPr>
      </w:r>
      <w:r>
        <w:rPr>
          <w:lang w:val="es-MX"/>
        </w:rPr>
        <w:fldChar w:fldCharType="separate"/>
      </w:r>
      <w:r w:rsidRPr="00681955">
        <w:rPr>
          <w:rStyle w:val="Hipervnculo"/>
          <w:lang w:val="es-MX"/>
        </w:rPr>
        <w:t>World</w:t>
      </w:r>
      <w:proofErr w:type="spellEnd"/>
      <w:r w:rsidRPr="00681955">
        <w:rPr>
          <w:rStyle w:val="Hipervnculo"/>
          <w:lang w:val="es-MX"/>
        </w:rPr>
        <w:t xml:space="preserve"> </w:t>
      </w:r>
      <w:proofErr w:type="spellStart"/>
      <w:r w:rsidRPr="00681955">
        <w:rPr>
          <w:rStyle w:val="Hipervnculo"/>
          <w:lang w:val="es-MX"/>
        </w:rPr>
        <w:t>Prison</w:t>
      </w:r>
      <w:proofErr w:type="spellEnd"/>
      <w:r w:rsidRPr="00681955">
        <w:rPr>
          <w:rStyle w:val="Hipervnculo"/>
          <w:lang w:val="es-MX"/>
        </w:rPr>
        <w:t xml:space="preserve"> </w:t>
      </w:r>
      <w:proofErr w:type="spellStart"/>
      <w:r w:rsidRPr="00681955">
        <w:rPr>
          <w:rStyle w:val="Hipervnculo"/>
          <w:lang w:val="es-MX"/>
        </w:rPr>
        <w:t>Brief</w:t>
      </w:r>
      <w:proofErr w:type="spellEnd"/>
      <w:r>
        <w:rPr>
          <w:lang w:val="es-MX"/>
        </w:rPr>
        <w:fldChar w:fldCharType="end"/>
      </w:r>
      <w:r w:rsidRPr="00681955">
        <w:rPr>
          <w:lang w:val="es-MX"/>
        </w:rPr>
        <w:t>), que recopila datos directamente de las administraciones penitenciarias nacionales o de los sitios web de los Ministerios de Justicia u otros organismos oficiales. Para futuros informes sobre los ODS, los datos se enviarán a los países para su consulta antes de la publicación.</w:t>
      </w:r>
    </w:p>
    <w:p w14:paraId="608B4E9B" w14:textId="77777777" w:rsidR="00C12F03" w:rsidRPr="00681955" w:rsidRDefault="00C12F03" w:rsidP="00576CFA">
      <w:pPr>
        <w:pStyle w:val="MText"/>
        <w:rPr>
          <w:lang w:val="es-MX"/>
        </w:rPr>
      </w:pPr>
    </w:p>
    <w:p w14:paraId="170A2C05" w14:textId="61AC7245" w:rsidR="00E46D96" w:rsidRPr="0063163D" w:rsidRDefault="00E46D96" w:rsidP="00F719A8">
      <w:pPr>
        <w:pStyle w:val="MHeader2"/>
        <w:rPr>
          <w:lang w:val="es-MX"/>
        </w:rPr>
      </w:pPr>
      <w:r w:rsidRPr="0063163D">
        <w:rPr>
          <w:lang w:val="es-MX"/>
        </w:rPr>
        <w:t xml:space="preserve">3.c. </w:t>
      </w:r>
      <w:bookmarkStart w:id="32" w:name="_Hlk196759804"/>
      <w:r w:rsidR="0063163D" w:rsidRPr="0063163D">
        <w:rPr>
          <w:lang w:val="es-MX"/>
        </w:rPr>
        <w:t>Calendario de recolección de datos</w:t>
      </w:r>
      <w:r w:rsidRPr="0063163D">
        <w:rPr>
          <w:lang w:val="es-MX"/>
        </w:rPr>
        <w:t xml:space="preserve"> </w:t>
      </w:r>
      <w:bookmarkEnd w:id="32"/>
      <w:r w:rsidRPr="0063163D">
        <w:rPr>
          <w:color w:val="B4B4B4"/>
          <w:sz w:val="20"/>
          <w:lang w:val="es-MX"/>
        </w:rPr>
        <w:t>(FREQ_COLL)</w:t>
      </w:r>
    </w:p>
    <w:p w14:paraId="01BA862E" w14:textId="1634D788" w:rsidR="00EC2915" w:rsidRPr="00681955" w:rsidRDefault="00681955" w:rsidP="00576CFA">
      <w:pPr>
        <w:pStyle w:val="MText"/>
        <w:rPr>
          <w:lang w:val="es-MX"/>
        </w:rPr>
      </w:pPr>
      <w:r w:rsidRPr="00681955">
        <w:rPr>
          <w:lang w:val="es-MX"/>
        </w:rPr>
        <w:t>III-IV trimestre del año n</w:t>
      </w:r>
    </w:p>
    <w:p w14:paraId="5FFBE143" w14:textId="77777777" w:rsidR="005B56DC" w:rsidRPr="00681955" w:rsidRDefault="005B56DC" w:rsidP="00576CFA">
      <w:pPr>
        <w:pStyle w:val="MText"/>
        <w:rPr>
          <w:lang w:val="es-MX"/>
        </w:rPr>
      </w:pPr>
    </w:p>
    <w:p w14:paraId="7D466604" w14:textId="0B420BEE" w:rsidR="00E46D96" w:rsidRPr="0063163D" w:rsidRDefault="00E46D96" w:rsidP="00F719A8">
      <w:pPr>
        <w:pStyle w:val="MHeader2"/>
        <w:rPr>
          <w:lang w:val="es-MX"/>
        </w:rPr>
      </w:pPr>
      <w:r w:rsidRPr="0063163D">
        <w:rPr>
          <w:lang w:val="es-MX"/>
        </w:rPr>
        <w:t xml:space="preserve">3.d. </w:t>
      </w:r>
      <w:bookmarkStart w:id="33" w:name="_Hlk196759813"/>
      <w:r w:rsidR="0063163D" w:rsidRPr="0063163D">
        <w:rPr>
          <w:lang w:val="es-MX"/>
        </w:rPr>
        <w:t>Calendario de publicación de datos</w:t>
      </w:r>
      <w:r w:rsidRPr="0063163D">
        <w:rPr>
          <w:lang w:val="es-MX"/>
        </w:rPr>
        <w:t xml:space="preserve"> </w:t>
      </w:r>
      <w:bookmarkEnd w:id="33"/>
      <w:r w:rsidRPr="0063163D">
        <w:rPr>
          <w:color w:val="B4B4B4"/>
          <w:sz w:val="20"/>
          <w:lang w:val="es-MX"/>
        </w:rPr>
        <w:t>(REL_CAL_POLICY)</w:t>
      </w:r>
    </w:p>
    <w:p w14:paraId="0C0E5181" w14:textId="50B060CB" w:rsidR="005B56DC" w:rsidRPr="00681955" w:rsidRDefault="00681955" w:rsidP="7C649AD3">
      <w:pPr>
        <w:shd w:val="clear" w:color="auto" w:fill="FFFFFF" w:themeFill="background1"/>
        <w:spacing w:after="0"/>
        <w:rPr>
          <w:rFonts w:eastAsia="Times New Roman" w:cs="Times New Roman"/>
          <w:color w:val="4A4A4A"/>
          <w:sz w:val="21"/>
          <w:szCs w:val="21"/>
          <w:lang w:val="es-MX" w:eastAsia="en-GB"/>
        </w:rPr>
      </w:pPr>
      <w:r w:rsidRPr="00681955">
        <w:rPr>
          <w:rFonts w:eastAsia="Times New Roman" w:cs="Times New Roman"/>
          <w:color w:val="4A4A4A"/>
          <w:sz w:val="21"/>
          <w:szCs w:val="21"/>
          <w:lang w:val="es-MX" w:eastAsia="en-GB"/>
        </w:rPr>
        <w:t>II trimestre año n+1 (datos del año n-1). Por ejemplo, los datos del año 2023 se recogen en el III-IV trimestre de 2024 y se publican en el II trimestre de 2025.</w:t>
      </w:r>
    </w:p>
    <w:p w14:paraId="64C749BD" w14:textId="77777777" w:rsidR="00EC2915" w:rsidRPr="00681955" w:rsidRDefault="00EC2915" w:rsidP="00576CFA">
      <w:pPr>
        <w:pStyle w:val="MText"/>
        <w:rPr>
          <w:lang w:val="es-MX"/>
        </w:rPr>
      </w:pPr>
    </w:p>
    <w:p w14:paraId="3A4F3065" w14:textId="6DF3CCBC" w:rsidR="00E46D96" w:rsidRPr="00982677" w:rsidRDefault="00E46D96" w:rsidP="00F719A8">
      <w:pPr>
        <w:pStyle w:val="MHeader2"/>
        <w:rPr>
          <w:lang w:val="pt-BR"/>
        </w:rPr>
      </w:pPr>
      <w:r w:rsidRPr="00982677">
        <w:rPr>
          <w:lang w:val="pt-BR"/>
        </w:rPr>
        <w:t xml:space="preserve">3.e. </w:t>
      </w:r>
      <w:bookmarkStart w:id="34" w:name="_Hlk196759819"/>
      <w:proofErr w:type="spellStart"/>
      <w:r w:rsidR="0063163D" w:rsidRPr="00982677">
        <w:rPr>
          <w:lang w:val="pt-BR"/>
        </w:rPr>
        <w:t>Proveedores</w:t>
      </w:r>
      <w:proofErr w:type="spellEnd"/>
      <w:r w:rsidR="0063163D" w:rsidRPr="00982677">
        <w:rPr>
          <w:lang w:val="pt-BR"/>
        </w:rPr>
        <w:t xml:space="preserve"> de </w:t>
      </w:r>
      <w:proofErr w:type="spellStart"/>
      <w:r w:rsidR="0063163D" w:rsidRPr="00982677">
        <w:rPr>
          <w:lang w:val="pt-BR"/>
        </w:rPr>
        <w:t>datos</w:t>
      </w:r>
      <w:proofErr w:type="spellEnd"/>
      <w:r w:rsidRPr="00982677">
        <w:rPr>
          <w:lang w:val="pt-BR"/>
        </w:rPr>
        <w:t xml:space="preserve"> </w:t>
      </w:r>
      <w:bookmarkEnd w:id="34"/>
      <w:r w:rsidRPr="00982677">
        <w:rPr>
          <w:color w:val="B4B4B4"/>
          <w:sz w:val="20"/>
          <w:lang w:val="pt-BR"/>
        </w:rPr>
        <w:t>(DATA_SOURCE)</w:t>
      </w:r>
    </w:p>
    <w:p w14:paraId="0A746E15" w14:textId="37620DB3" w:rsidR="005B56DC" w:rsidRPr="00681955" w:rsidRDefault="00681955" w:rsidP="005B56DC">
      <w:pPr>
        <w:shd w:val="clear" w:color="auto" w:fill="FFFFFF"/>
        <w:spacing w:after="0"/>
        <w:rPr>
          <w:rFonts w:eastAsia="Times New Roman" w:cs="Times New Roman"/>
          <w:color w:val="4A4A4A"/>
          <w:sz w:val="21"/>
          <w:szCs w:val="21"/>
          <w:lang w:val="es-MX" w:eastAsia="en-GB"/>
        </w:rPr>
      </w:pPr>
      <w:r w:rsidRPr="00681955">
        <w:rPr>
          <w:rFonts w:eastAsia="Times New Roman" w:cs="Times New Roman"/>
          <w:color w:val="4A4A4A"/>
          <w:sz w:val="21"/>
          <w:szCs w:val="21"/>
          <w:lang w:val="es-MX" w:eastAsia="en-GB"/>
        </w:rPr>
        <w:t>Autoridad penitenciaria nacional, a través de los puntos focales del UNCTS</w:t>
      </w:r>
    </w:p>
    <w:p w14:paraId="50A66E64" w14:textId="77777777" w:rsidR="00EC2915" w:rsidRPr="00681955" w:rsidRDefault="00EC2915" w:rsidP="00576CFA">
      <w:pPr>
        <w:pStyle w:val="MText"/>
        <w:rPr>
          <w:lang w:val="es-MX"/>
        </w:rPr>
      </w:pPr>
    </w:p>
    <w:p w14:paraId="30DC8E05" w14:textId="659826C2" w:rsidR="00E46D96" w:rsidRPr="0063163D" w:rsidRDefault="00E46D96" w:rsidP="00F719A8">
      <w:pPr>
        <w:pStyle w:val="MHeader2"/>
        <w:rPr>
          <w:lang w:val="es-MX"/>
        </w:rPr>
      </w:pPr>
      <w:r w:rsidRPr="0063163D">
        <w:rPr>
          <w:lang w:val="es-MX"/>
        </w:rPr>
        <w:t xml:space="preserve">3.f. </w:t>
      </w:r>
      <w:bookmarkStart w:id="35" w:name="_Hlk196759827"/>
      <w:r w:rsidR="0063163D" w:rsidRPr="0063163D">
        <w:rPr>
          <w:lang w:val="es-MX"/>
        </w:rPr>
        <w:t>Compiladores de datos</w:t>
      </w:r>
      <w:r w:rsidRPr="0063163D">
        <w:rPr>
          <w:lang w:val="es-MX"/>
        </w:rPr>
        <w:t xml:space="preserve"> </w:t>
      </w:r>
      <w:bookmarkEnd w:id="35"/>
      <w:r w:rsidRPr="0063163D">
        <w:rPr>
          <w:color w:val="B4B4B4"/>
          <w:sz w:val="20"/>
          <w:lang w:val="es-MX"/>
        </w:rPr>
        <w:t>(COMPILING_ORG)</w:t>
      </w:r>
    </w:p>
    <w:p w14:paraId="6E169CB1" w14:textId="5C87F81D" w:rsidR="005B56DC" w:rsidRPr="0063163D" w:rsidRDefault="0063163D" w:rsidP="005B56DC">
      <w:pPr>
        <w:shd w:val="clear" w:color="auto" w:fill="FFFFFF"/>
        <w:spacing w:after="0"/>
        <w:rPr>
          <w:rFonts w:eastAsia="Times New Roman" w:cs="Times New Roman"/>
          <w:color w:val="4A4A4A"/>
          <w:sz w:val="21"/>
          <w:szCs w:val="21"/>
          <w:lang w:val="es-MX" w:eastAsia="en-GB"/>
        </w:rPr>
      </w:pPr>
      <w:r w:rsidRPr="00F36079">
        <w:rPr>
          <w:rFonts w:eastAsia="Times New Roman" w:cs="Times New Roman"/>
          <w:color w:val="4A4A4A"/>
          <w:sz w:val="21"/>
          <w:szCs w:val="21"/>
          <w:lang w:val="es-MX" w:eastAsia="en-GB"/>
        </w:rPr>
        <w:t>Oficina de Naciones Unidas contra la Droga y el Delito</w:t>
      </w:r>
      <w:r w:rsidRPr="0063163D">
        <w:rPr>
          <w:rFonts w:eastAsia="Times New Roman" w:cs="Times New Roman"/>
          <w:color w:val="4A4A4A"/>
          <w:sz w:val="21"/>
          <w:szCs w:val="21"/>
          <w:lang w:val="es-MX" w:eastAsia="en-GB"/>
        </w:rPr>
        <w:t xml:space="preserve"> </w:t>
      </w:r>
      <w:r w:rsidR="00B4685A" w:rsidRPr="0063163D">
        <w:rPr>
          <w:rFonts w:eastAsia="Times New Roman" w:cs="Times New Roman"/>
          <w:color w:val="4A4A4A"/>
          <w:sz w:val="21"/>
          <w:szCs w:val="21"/>
          <w:lang w:val="es-MX" w:eastAsia="en-GB"/>
        </w:rPr>
        <w:t>(</w:t>
      </w:r>
      <w:r w:rsidR="005B56DC" w:rsidRPr="0063163D">
        <w:rPr>
          <w:rFonts w:eastAsia="Times New Roman" w:cs="Times New Roman"/>
          <w:color w:val="4A4A4A"/>
          <w:sz w:val="21"/>
          <w:szCs w:val="21"/>
          <w:lang w:val="es-MX" w:eastAsia="en-GB"/>
        </w:rPr>
        <w:t>UNODC</w:t>
      </w:r>
      <w:r w:rsidR="00B4685A" w:rsidRPr="0063163D">
        <w:rPr>
          <w:rFonts w:eastAsia="Times New Roman" w:cs="Times New Roman"/>
          <w:color w:val="4A4A4A"/>
          <w:sz w:val="21"/>
          <w:szCs w:val="21"/>
          <w:lang w:val="es-MX" w:eastAsia="en-GB"/>
        </w:rPr>
        <w:t>)</w:t>
      </w:r>
    </w:p>
    <w:p w14:paraId="3DA395DE" w14:textId="77777777" w:rsidR="0049369C" w:rsidRPr="0063163D" w:rsidRDefault="0049369C" w:rsidP="005B56DC">
      <w:pPr>
        <w:shd w:val="clear" w:color="auto" w:fill="FFFFFF"/>
        <w:spacing w:after="0"/>
        <w:rPr>
          <w:rFonts w:eastAsia="Times New Roman" w:cs="Times New Roman"/>
          <w:color w:val="4A4A4A"/>
          <w:sz w:val="21"/>
          <w:szCs w:val="21"/>
          <w:lang w:val="es-MX" w:eastAsia="en-GB"/>
        </w:rPr>
      </w:pPr>
    </w:p>
    <w:p w14:paraId="259BD3CB" w14:textId="7A81188D" w:rsidR="00681955" w:rsidRPr="00681955" w:rsidRDefault="00681955" w:rsidP="7C649AD3">
      <w:pPr>
        <w:shd w:val="clear" w:color="auto" w:fill="FFFFFF" w:themeFill="background1"/>
        <w:spacing w:after="0"/>
        <w:rPr>
          <w:rFonts w:eastAsia="Times New Roman" w:cs="Times New Roman"/>
          <w:color w:val="4A4A4A"/>
          <w:sz w:val="21"/>
          <w:szCs w:val="21"/>
          <w:lang w:val="es-MX" w:eastAsia="en-GB"/>
        </w:rPr>
      </w:pPr>
      <w:r w:rsidRPr="00681955">
        <w:rPr>
          <w:rFonts w:eastAsia="Times New Roman" w:cs="Times New Roman"/>
          <w:color w:val="4A4A4A"/>
          <w:sz w:val="21"/>
          <w:szCs w:val="21"/>
          <w:lang w:val="es-MX" w:eastAsia="en-GB"/>
        </w:rPr>
        <w:t xml:space="preserve">A escala internacional, la Oficina de las Naciones Unidas contra la Droga y el Delito </w:t>
      </w:r>
      <w:proofErr w:type="gramStart"/>
      <w:r w:rsidRPr="00681955">
        <w:rPr>
          <w:rFonts w:eastAsia="Times New Roman" w:cs="Times New Roman"/>
          <w:color w:val="4A4A4A"/>
          <w:sz w:val="21"/>
          <w:szCs w:val="21"/>
          <w:lang w:val="es-MX" w:eastAsia="en-GB"/>
        </w:rPr>
        <w:t>( UNODC</w:t>
      </w:r>
      <w:proofErr w:type="gramEnd"/>
      <w:r w:rsidRPr="00681955">
        <w:rPr>
          <w:rFonts w:eastAsia="Times New Roman" w:cs="Times New Roman"/>
          <w:color w:val="4A4A4A"/>
          <w:sz w:val="21"/>
          <w:szCs w:val="21"/>
          <w:lang w:val="es-MX" w:eastAsia="en-GB"/>
        </w:rPr>
        <w:t xml:space="preserve">) recopila y difunde sistemáticamente datos sobre las prisiones a través de la recogida anual de datos UN-CTS. La UNODC colabora con organizaciones regionales en la recolección y difusión de datos sobre homicidios, respectivamente con Eurostat en Europa y con la Organización de Estados Americanos en </w:t>
      </w:r>
      <w:r w:rsidR="00982677">
        <w:rPr>
          <w:rFonts w:eastAsia="Times New Roman" w:cs="Times New Roman"/>
          <w:color w:val="4A4A4A"/>
          <w:sz w:val="21"/>
          <w:szCs w:val="21"/>
          <w:lang w:val="es-MX" w:eastAsia="en-GB"/>
        </w:rPr>
        <w:t xml:space="preserve">las </w:t>
      </w:r>
      <w:r w:rsidRPr="00681955">
        <w:rPr>
          <w:rFonts w:eastAsia="Times New Roman" w:cs="Times New Roman"/>
          <w:color w:val="4A4A4A"/>
          <w:sz w:val="21"/>
          <w:szCs w:val="21"/>
          <w:lang w:val="es-MX" w:eastAsia="en-GB"/>
        </w:rPr>
        <w:t>América</w:t>
      </w:r>
      <w:r w:rsidR="00982677">
        <w:rPr>
          <w:rFonts w:eastAsia="Times New Roman" w:cs="Times New Roman"/>
          <w:color w:val="4A4A4A"/>
          <w:sz w:val="21"/>
          <w:szCs w:val="21"/>
          <w:lang w:val="es-MX" w:eastAsia="en-GB"/>
        </w:rPr>
        <w:t>s</w:t>
      </w:r>
      <w:r w:rsidRPr="00681955">
        <w:rPr>
          <w:rFonts w:eastAsia="Times New Roman" w:cs="Times New Roman"/>
          <w:color w:val="4A4A4A"/>
          <w:sz w:val="21"/>
          <w:szCs w:val="21"/>
          <w:lang w:val="es-MX" w:eastAsia="en-GB"/>
        </w:rPr>
        <w:t>. En caso de que falten datos, la UNODC tiene en cuenta los datos nacionales recopilados por el Informe Mundial sobre Prisiones y otras fuentes nacionales.</w:t>
      </w:r>
    </w:p>
    <w:p w14:paraId="5C43435B" w14:textId="77777777" w:rsidR="00EC2915" w:rsidRPr="00681955" w:rsidRDefault="00EC2915" w:rsidP="00576CFA">
      <w:pPr>
        <w:pStyle w:val="MText"/>
        <w:rPr>
          <w:lang w:val="es-MX"/>
        </w:rPr>
      </w:pPr>
    </w:p>
    <w:p w14:paraId="5655E768" w14:textId="1952B641" w:rsidR="00E46D96" w:rsidRPr="00A96255" w:rsidRDefault="00E46D96" w:rsidP="00F719A8">
      <w:pPr>
        <w:pStyle w:val="MHeader2"/>
      </w:pPr>
      <w:r w:rsidRPr="00A96255">
        <w:t xml:space="preserve">3.g. </w:t>
      </w:r>
      <w:bookmarkStart w:id="36" w:name="_Hlk196759834"/>
      <w:r w:rsidR="0063163D">
        <w:t xml:space="preserve">Mandato </w:t>
      </w:r>
      <w:proofErr w:type="spellStart"/>
      <w:r w:rsidR="0063163D">
        <w:t>institucional</w:t>
      </w:r>
      <w:proofErr w:type="spellEnd"/>
      <w:r w:rsidRPr="00A96255">
        <w:t xml:space="preserve"> </w:t>
      </w:r>
      <w:bookmarkEnd w:id="36"/>
      <w:r>
        <w:rPr>
          <w:color w:val="B4B4B4"/>
          <w:sz w:val="20"/>
        </w:rPr>
        <w:t>(INST_MANDATE)</w:t>
      </w:r>
    </w:p>
    <w:p w14:paraId="36626E1A" w14:textId="6DE85259" w:rsidR="00681955" w:rsidRPr="00681955" w:rsidRDefault="00681955" w:rsidP="00576CFA">
      <w:pPr>
        <w:pStyle w:val="MText"/>
        <w:rPr>
          <w:lang w:val="es-MX"/>
        </w:rPr>
      </w:pPr>
      <w:r w:rsidRPr="00681955">
        <w:rPr>
          <w:lang w:val="es-MX"/>
        </w:rPr>
        <w:t xml:space="preserve">El Estudio de las Naciones Unidas sobre tendencias delictivas y funcionamiento de los sistemas de justicia penal (UN-CTS) se introdujo mediante la Resolución </w:t>
      </w:r>
      <w:hyperlink r:id="rId15" w:history="1">
        <w:r w:rsidRPr="00681955">
          <w:rPr>
            <w:rStyle w:val="Hipervnculo"/>
            <w:lang w:val="es-MX"/>
          </w:rPr>
          <w:t>A/RES/3021(XXVII)</w:t>
        </w:r>
      </w:hyperlink>
      <w:r w:rsidRPr="00681955">
        <w:rPr>
          <w:lang w:val="es-MX"/>
        </w:rPr>
        <w:t xml:space="preserve"> de la Asamblea General en 1972. El Consejo Económico y Social, en su resolución 1984/48 de 25 de mayo de 1984, pidió al </w:t>
      </w:r>
      <w:proofErr w:type="gramStart"/>
      <w:r w:rsidRPr="00681955">
        <w:rPr>
          <w:lang w:val="es-MX"/>
        </w:rPr>
        <w:t>Secretario General</w:t>
      </w:r>
      <w:proofErr w:type="gramEnd"/>
      <w:r w:rsidRPr="00681955">
        <w:rPr>
          <w:lang w:val="es-MX"/>
        </w:rPr>
        <w:t xml:space="preserve"> que mantuviera y desarrollara la base de datos de las Naciones Unidas sobre la delincuencia mediante la realización de estudios sobre las tendencias delictivas y el funcionamiento de los sistemas de justicia penal.</w:t>
      </w:r>
    </w:p>
    <w:p w14:paraId="2B97C63F" w14:textId="77777777" w:rsidR="00147A77" w:rsidRPr="00681955" w:rsidRDefault="00147A77" w:rsidP="00576CFA">
      <w:pPr>
        <w:pStyle w:val="MText"/>
        <w:rPr>
          <w:lang w:val="es-MX"/>
        </w:rPr>
      </w:pPr>
    </w:p>
    <w:p w14:paraId="25806593" w14:textId="77777777" w:rsidR="0031038C" w:rsidRPr="00681955" w:rsidRDefault="0031038C" w:rsidP="00576CFA">
      <w:pPr>
        <w:pStyle w:val="MText"/>
        <w:rPr>
          <w:lang w:val="es-MX"/>
        </w:rPr>
      </w:pPr>
    </w:p>
    <w:p w14:paraId="6149DC94" w14:textId="272D8503" w:rsidR="00B31E2C" w:rsidRPr="0063163D" w:rsidRDefault="00B31E2C" w:rsidP="00AF5ED1">
      <w:pPr>
        <w:pStyle w:val="MHeader"/>
        <w:rPr>
          <w:lang w:val="es-MX"/>
        </w:rPr>
      </w:pPr>
      <w:r w:rsidRPr="0063163D">
        <w:rPr>
          <w:lang w:val="es-MX"/>
        </w:rPr>
        <w:lastRenderedPageBreak/>
        <w:t xml:space="preserve">4. </w:t>
      </w:r>
      <w:bookmarkStart w:id="37" w:name="_Hlk196759841"/>
      <w:r w:rsidR="0063163D" w:rsidRPr="0063163D">
        <w:rPr>
          <w:lang w:val="es-MX"/>
        </w:rPr>
        <w:t>Otras consideraciones metodológicas</w:t>
      </w:r>
      <w:r w:rsidRPr="0063163D">
        <w:rPr>
          <w:lang w:val="es-MX"/>
        </w:rPr>
        <w:t xml:space="preserve"> </w:t>
      </w:r>
      <w:bookmarkEnd w:id="37"/>
      <w:r w:rsidRPr="0063163D">
        <w:rPr>
          <w:color w:val="B4B4B4"/>
          <w:sz w:val="20"/>
          <w:lang w:val="es-MX"/>
        </w:rPr>
        <w:t>(OTHER_METHOD)</w:t>
      </w:r>
    </w:p>
    <w:p w14:paraId="1AFA5517" w14:textId="127D3002" w:rsidR="00AF5ED1" w:rsidRPr="009B7554" w:rsidRDefault="00576CFA" w:rsidP="00F719A8">
      <w:pPr>
        <w:pStyle w:val="MHeader2"/>
        <w:rPr>
          <w:lang w:val="es-MX"/>
        </w:rPr>
      </w:pPr>
      <w:r w:rsidRPr="009B7554">
        <w:rPr>
          <w:lang w:val="es-MX"/>
        </w:rPr>
        <w:t xml:space="preserve">4.a. </w:t>
      </w:r>
      <w:bookmarkStart w:id="38" w:name="_Hlk196759850"/>
      <w:r w:rsidR="0063163D" w:rsidRPr="009B7554">
        <w:rPr>
          <w:lang w:val="es-MX"/>
        </w:rPr>
        <w:t>Justificación</w:t>
      </w:r>
      <w:bookmarkEnd w:id="38"/>
      <w:r w:rsidRPr="009B7554">
        <w:rPr>
          <w:lang w:val="es-MX"/>
        </w:rPr>
        <w:t xml:space="preserve"> </w:t>
      </w:r>
      <w:r w:rsidRPr="009B7554">
        <w:rPr>
          <w:color w:val="B4B4B4"/>
          <w:sz w:val="20"/>
          <w:lang w:val="es-MX"/>
        </w:rPr>
        <w:t>(RATIONALE)</w:t>
      </w:r>
    </w:p>
    <w:p w14:paraId="28A37798" w14:textId="7472371F" w:rsidR="009B7554" w:rsidRPr="009B7554" w:rsidRDefault="009B7554" w:rsidP="00576CFA">
      <w:pPr>
        <w:pStyle w:val="MText"/>
        <w:rPr>
          <w:lang w:val="es-MX"/>
        </w:rPr>
      </w:pPr>
      <w:r w:rsidRPr="009B7554">
        <w:rPr>
          <w:lang w:val="es-MX"/>
        </w:rPr>
        <w:t>El indicador significa un respeto general por el principio de que las personas en espera de juicio no deben permanecer detenidas innecesariamente. Esto, a su vez, se basa en aspectos del derecho a la presunción de inocencia hasta que se demuestre la culpabilidad. Desde una perspectiva de desarrollo, el uso extensivo de la prisión preventiva cuando no es necesaria por razones como la prevención de fugas, la protección de víctimas o testigos, o la prevención de la comisión de nuevos delitos, puede desviar recursos del sistema de justicia penal y ejercer cargas financieras y de desempleo sobre el acusado y su familia. Medir el grado relativo de utilización de la prisión preventiva puede aportar pruebas que ayuden a los países a reducir esas cargas y a garantizar su uso proporcionado.</w:t>
      </w:r>
    </w:p>
    <w:p w14:paraId="6B0E42E6" w14:textId="77777777" w:rsidR="00B3115D" w:rsidRPr="009B7554" w:rsidRDefault="00B3115D" w:rsidP="00A30805">
      <w:pPr>
        <w:pStyle w:val="MText"/>
        <w:rPr>
          <w:lang w:val="es-MX"/>
        </w:rPr>
      </w:pPr>
    </w:p>
    <w:p w14:paraId="2529B069" w14:textId="1D28D7CC" w:rsidR="00E1050F" w:rsidRPr="0063163D" w:rsidRDefault="00E1050F" w:rsidP="00F719A8">
      <w:pPr>
        <w:pStyle w:val="MHeader2"/>
        <w:rPr>
          <w:lang w:val="es-MX"/>
        </w:rPr>
      </w:pPr>
      <w:r w:rsidRPr="0063163D">
        <w:rPr>
          <w:lang w:val="es-MX"/>
        </w:rPr>
        <w:t xml:space="preserve">4.b. </w:t>
      </w:r>
      <w:bookmarkStart w:id="39" w:name="_Hlk196759856"/>
      <w:r w:rsidR="0063163D" w:rsidRPr="0063163D">
        <w:rPr>
          <w:lang w:val="es-MX"/>
        </w:rPr>
        <w:t>Comentarios y limitaciones</w:t>
      </w:r>
      <w:r w:rsidRPr="0063163D">
        <w:rPr>
          <w:lang w:val="es-MX"/>
        </w:rPr>
        <w:t xml:space="preserve"> </w:t>
      </w:r>
      <w:bookmarkEnd w:id="39"/>
      <w:r w:rsidRPr="0063163D">
        <w:rPr>
          <w:color w:val="B4B4B4"/>
          <w:sz w:val="20"/>
          <w:lang w:val="es-MX"/>
        </w:rPr>
        <w:t>(REC_USE_LIM)</w:t>
      </w:r>
    </w:p>
    <w:p w14:paraId="6884CA16" w14:textId="77777777" w:rsidR="009B7554" w:rsidRPr="009B7554" w:rsidRDefault="009B7554" w:rsidP="009B7554">
      <w:pPr>
        <w:shd w:val="clear" w:color="auto" w:fill="FFFFFF"/>
        <w:spacing w:after="0"/>
        <w:rPr>
          <w:rFonts w:eastAsia="Times New Roman" w:cs="Times New Roman"/>
          <w:color w:val="4A4A4A"/>
          <w:sz w:val="21"/>
          <w:szCs w:val="21"/>
          <w:lang w:val="es-MX" w:eastAsia="en-GB"/>
        </w:rPr>
      </w:pPr>
      <w:r w:rsidRPr="009B7554">
        <w:rPr>
          <w:rFonts w:eastAsia="Times New Roman" w:cs="Times New Roman"/>
          <w:color w:val="4A4A4A"/>
          <w:sz w:val="21"/>
          <w:szCs w:val="21"/>
          <w:lang w:val="es-MX" w:eastAsia="en-GB"/>
        </w:rPr>
        <w:t>El objetivo está relacionado con los conceptos multidimensionales de Estado de Derecho y acceso a la justicia y se requieren al menos dos indicadores para cubrir los elementos principales de acceso a la justicia y eficiencia del sistema judicial. El indicador propuesto 16.3.2 cubre la eficiencia del sistema judicial.</w:t>
      </w:r>
    </w:p>
    <w:p w14:paraId="4949941F" w14:textId="77777777" w:rsidR="009B7554" w:rsidRPr="009B7554" w:rsidRDefault="009B7554" w:rsidP="009B7554">
      <w:pPr>
        <w:shd w:val="clear" w:color="auto" w:fill="FFFFFF"/>
        <w:spacing w:after="0"/>
        <w:rPr>
          <w:rFonts w:eastAsia="Times New Roman" w:cs="Times New Roman"/>
          <w:color w:val="4A4A4A"/>
          <w:sz w:val="21"/>
          <w:szCs w:val="21"/>
          <w:lang w:val="es-MX" w:eastAsia="en-GB"/>
        </w:rPr>
      </w:pPr>
    </w:p>
    <w:p w14:paraId="54E94D4C" w14:textId="26C432D8" w:rsidR="009B7554" w:rsidRPr="009B7554" w:rsidRDefault="009B7554" w:rsidP="009B7554">
      <w:pPr>
        <w:shd w:val="clear" w:color="auto" w:fill="FFFFFF"/>
        <w:spacing w:after="0"/>
        <w:rPr>
          <w:rFonts w:eastAsia="Times New Roman" w:cs="Times New Roman"/>
          <w:color w:val="4A4A4A"/>
          <w:sz w:val="21"/>
          <w:szCs w:val="21"/>
          <w:lang w:val="es-MX" w:eastAsia="en-GB"/>
        </w:rPr>
      </w:pPr>
      <w:r w:rsidRPr="009B7554">
        <w:rPr>
          <w:rFonts w:eastAsia="Times New Roman" w:cs="Times New Roman"/>
          <w:color w:val="4A4A4A"/>
          <w:sz w:val="21"/>
          <w:szCs w:val="21"/>
          <w:lang w:val="es-MX" w:eastAsia="en-GB"/>
        </w:rPr>
        <w:t>Además, no es sencillo definir un objetivo concreto para el indicador 16.3.2. Esto se debe a que la prisión preventiva es un elemento importante de la eficacia del sistema judicial. Esto se debe a que la detención preventiva es una parte constitutiva del proceso de justicia penal y una proporción muy baja de detenidos sin sentencia (por ejemplo, cercana a cero) no refleja necesariamente un proceso de justicia penal accesible y justo.</w:t>
      </w:r>
    </w:p>
    <w:p w14:paraId="398C00AE" w14:textId="77777777" w:rsidR="00EC2915" w:rsidRPr="009B7554" w:rsidRDefault="00EC2915" w:rsidP="00576CFA">
      <w:pPr>
        <w:pStyle w:val="MText"/>
        <w:rPr>
          <w:lang w:val="es-MX"/>
        </w:rPr>
      </w:pPr>
    </w:p>
    <w:p w14:paraId="79EEEE38" w14:textId="7B2BDF04" w:rsidR="00E1050F" w:rsidRPr="00982677" w:rsidRDefault="00E1050F" w:rsidP="00F719A8">
      <w:pPr>
        <w:pStyle w:val="MHeader2"/>
        <w:rPr>
          <w:lang w:val="pt-BR"/>
        </w:rPr>
      </w:pPr>
      <w:r w:rsidRPr="00982677">
        <w:rPr>
          <w:lang w:val="pt-BR"/>
        </w:rPr>
        <w:t xml:space="preserve">4.c. </w:t>
      </w:r>
      <w:bookmarkStart w:id="40" w:name="_Hlk196759866"/>
      <w:r w:rsidR="0063163D" w:rsidRPr="00982677">
        <w:rPr>
          <w:lang w:val="pt-BR"/>
        </w:rPr>
        <w:t>Método de cálculo</w:t>
      </w:r>
      <w:r w:rsidRPr="00982677">
        <w:rPr>
          <w:lang w:val="pt-BR"/>
        </w:rPr>
        <w:t xml:space="preserve"> </w:t>
      </w:r>
      <w:bookmarkEnd w:id="40"/>
      <w:r w:rsidRPr="00982677">
        <w:rPr>
          <w:color w:val="B4B4B4"/>
          <w:sz w:val="20"/>
          <w:lang w:val="pt-BR"/>
        </w:rPr>
        <w:t>(DATA_COMP)</w:t>
      </w:r>
    </w:p>
    <w:p w14:paraId="69AEB354" w14:textId="2B6DD458" w:rsidR="00E879E2" w:rsidRPr="009B7554" w:rsidRDefault="009B7554" w:rsidP="00B3115D">
      <w:pPr>
        <w:shd w:val="clear" w:color="auto" w:fill="FFFFFF"/>
        <w:spacing w:after="0"/>
        <w:rPr>
          <w:rFonts w:eastAsia="Times New Roman" w:cs="Times New Roman"/>
          <w:color w:val="4A4A4A"/>
          <w:sz w:val="21"/>
          <w:szCs w:val="21"/>
          <w:lang w:val="es-MX" w:eastAsia="en-GB"/>
        </w:rPr>
      </w:pPr>
      <w:r w:rsidRPr="009B7554">
        <w:rPr>
          <w:rFonts w:eastAsia="Times New Roman" w:cs="Times New Roman"/>
          <w:color w:val="4A4A4A"/>
          <w:sz w:val="21"/>
          <w:szCs w:val="21"/>
          <w:lang w:val="es-MX" w:eastAsia="en-GB"/>
        </w:rPr>
        <w:t>El indicador se calcula como el número total de personas detenidas sin sentencia dividido por el número total de personas detenidas en una fecha determinada, multiplicado por 100.</w:t>
      </w:r>
    </w:p>
    <w:p w14:paraId="394675DC" w14:textId="1E4D2EE5" w:rsidR="00B3115D" w:rsidRPr="009B7554" w:rsidRDefault="00B3115D" w:rsidP="00B3115D">
      <w:pPr>
        <w:shd w:val="clear" w:color="auto" w:fill="FFFFFF"/>
        <w:spacing w:after="0"/>
        <w:rPr>
          <w:rFonts w:eastAsia="Times New Roman" w:cs="Times New Roman"/>
          <w:color w:val="4A4A4A"/>
          <w:sz w:val="21"/>
          <w:szCs w:val="21"/>
          <w:lang w:val="es-MX" w:eastAsia="en-GB"/>
        </w:rPr>
      </w:pPr>
    </w:p>
    <w:p w14:paraId="65479958" w14:textId="040657A6" w:rsidR="00F87828" w:rsidRPr="00DE13C6" w:rsidRDefault="006C4A27" w:rsidP="7C649AD3">
      <w:pPr>
        <w:spacing w:after="0"/>
        <w:jc w:val="center"/>
        <w:rPr>
          <w:lang w:val="en-US"/>
        </w:rPr>
      </w:pPr>
      <m:oMathPara>
        <m:oMath>
          <m:sSub>
            <m:sSubPr>
              <m:ctrlPr>
                <w:rPr>
                  <w:rFonts w:ascii="Cambria Math" w:hAnsi="Cambria Math"/>
                  <w:i/>
                  <w:lang w:val="en-US"/>
                </w:rPr>
              </m:ctrlPr>
            </m:sSubPr>
            <m:e>
              <m:r>
                <w:rPr>
                  <w:rFonts w:ascii="Cambria Math" w:hAnsi="Cambria Math"/>
                  <w:lang w:val="en-US"/>
                </w:rPr>
                <m:t>Porcentaje</m:t>
              </m:r>
            </m:e>
            <m:sub>
              <m:r>
                <w:rPr>
                  <w:rFonts w:ascii="Cambria Math" w:hAnsi="Cambria Math"/>
                  <w:lang w:val="en-US"/>
                </w:rPr>
                <m:t xml:space="preserve"> </m:t>
              </m:r>
            </m:sub>
          </m:sSub>
          <m:r>
            <w:rPr>
              <w:rFonts w:ascii="Cambria Math" w:hAnsi="Cambria Math"/>
              <w:lang w:val="en-US"/>
            </w:rPr>
            <m:t>=100*</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Personas</m:t>
                  </m:r>
                  <m:r>
                    <w:rPr>
                      <w:rFonts w:ascii="Cambria Math" w:hAnsi="Cambria Math"/>
                      <w:lang w:val="en-US"/>
                    </w:rPr>
                    <m:t xml:space="preserve"> </m:t>
                  </m:r>
                  <m:r>
                    <w:rPr>
                      <w:rFonts w:ascii="Cambria Math" w:hAnsi="Cambria Math"/>
                      <w:lang w:val="en-US"/>
                    </w:rPr>
                    <m:t>detenidas</m:t>
                  </m:r>
                  <m:func>
                    <m:funcPr>
                      <m:ctrlPr>
                        <w:rPr>
                          <w:rFonts w:ascii="Cambria Math" w:hAnsi="Cambria Math"/>
                          <w:i/>
                          <w:lang w:val="en-US"/>
                        </w:rPr>
                      </m:ctrlPr>
                    </m:funcPr>
                    <m:fName>
                      <m:r>
                        <w:rPr>
                          <w:rFonts w:ascii="Cambria Math" w:hAnsi="Cambria Math"/>
                          <w:lang w:val="en-US"/>
                        </w:rPr>
                        <m:t>sin</m:t>
                      </m:r>
                    </m:fName>
                    <m:e>
                      <m:r>
                        <w:rPr>
                          <w:rFonts w:ascii="Cambria Math" w:hAnsi="Cambria Math"/>
                          <w:lang w:val="en-US"/>
                        </w:rPr>
                        <m:t>sentencia</m:t>
                      </m:r>
                    </m:e>
                  </m:func>
                </m:e>
                <m:sub>
                  <m:r>
                    <w:rPr>
                      <w:rFonts w:ascii="Cambria Math" w:hAnsi="Cambria Math"/>
                      <w:lang w:val="en-US"/>
                    </w:rPr>
                    <m:t xml:space="preserve"> </m:t>
                  </m:r>
                </m:sub>
              </m:sSub>
            </m:num>
            <m:den>
              <m:r>
                <w:rPr>
                  <w:rFonts w:ascii="Cambria Math" w:hAnsi="Cambria Math"/>
                  <w:lang w:val="en-US"/>
                </w:rPr>
                <m:t>Personas</m:t>
              </m:r>
              <m:r>
                <w:rPr>
                  <w:rFonts w:ascii="Cambria Math" w:hAnsi="Cambria Math"/>
                  <w:lang w:val="en-US"/>
                </w:rPr>
                <m:t xml:space="preserve"> </m:t>
              </m:r>
              <m:r>
                <w:rPr>
                  <w:rFonts w:ascii="Cambria Math" w:hAnsi="Cambria Math"/>
                  <w:lang w:val="en-US"/>
                </w:rPr>
                <m:t>detenidas</m:t>
              </m:r>
            </m:den>
          </m:f>
        </m:oMath>
      </m:oMathPara>
    </w:p>
    <w:p w14:paraId="1EAB239D" w14:textId="56C366A6" w:rsidR="00F87828" w:rsidRPr="007F3971" w:rsidDel="00082DC5" w:rsidRDefault="00F87828" w:rsidP="7C649AD3">
      <w:pPr>
        <w:shd w:val="clear" w:color="auto" w:fill="FFFFFF" w:themeFill="background1"/>
        <w:spacing w:after="0"/>
        <w:rPr>
          <w:rFonts w:eastAsia="Times New Roman" w:cs="Times New Roman"/>
          <w:color w:val="4A4A4A"/>
          <w:sz w:val="21"/>
          <w:szCs w:val="21"/>
          <w:lang w:eastAsia="en-GB"/>
        </w:rPr>
      </w:pPr>
    </w:p>
    <w:p w14:paraId="6A89839E" w14:textId="2A3CEDC4" w:rsidR="00576CFA" w:rsidRPr="009B7554" w:rsidRDefault="009B7554" w:rsidP="00576CFA">
      <w:pPr>
        <w:pStyle w:val="MText"/>
        <w:rPr>
          <w:lang w:val="es-MX"/>
        </w:rPr>
      </w:pPr>
      <w:r w:rsidRPr="009B7554">
        <w:rPr>
          <w:lang w:val="es-MX"/>
        </w:rPr>
        <w:t>Para el porcentaje por sexo, el número de personas retenidas sin condena de ese sexo debe dividirse por el número de personas retenidas del mismo sexo.</w:t>
      </w:r>
    </w:p>
    <w:p w14:paraId="753DB778" w14:textId="77777777" w:rsidR="00E879E2" w:rsidRPr="009B7554" w:rsidRDefault="00E879E2" w:rsidP="00576CFA">
      <w:pPr>
        <w:pStyle w:val="MText"/>
        <w:rPr>
          <w:lang w:val="es-MX"/>
        </w:rPr>
      </w:pPr>
    </w:p>
    <w:p w14:paraId="514CE3C0" w14:textId="57582244" w:rsidR="00E1050F" w:rsidRPr="009B7554" w:rsidRDefault="00576CFA" w:rsidP="00F719A8">
      <w:pPr>
        <w:pStyle w:val="MHeader2"/>
        <w:rPr>
          <w:lang w:val="es-MX"/>
        </w:rPr>
      </w:pPr>
      <w:r w:rsidRPr="009B7554">
        <w:rPr>
          <w:lang w:val="es-MX"/>
        </w:rPr>
        <w:t xml:space="preserve">4.d. </w:t>
      </w:r>
      <w:bookmarkStart w:id="41" w:name="_Hlk196759875"/>
      <w:bookmarkStart w:id="42" w:name="_Hlk196763079"/>
      <w:r w:rsidRPr="009B7554">
        <w:rPr>
          <w:lang w:val="es-MX"/>
        </w:rPr>
        <w:t>Valida</w:t>
      </w:r>
      <w:r w:rsidR="0063163D" w:rsidRPr="009B7554">
        <w:rPr>
          <w:lang w:val="es-MX"/>
        </w:rPr>
        <w:t>c</w:t>
      </w:r>
      <w:r w:rsidRPr="009B7554">
        <w:rPr>
          <w:lang w:val="es-MX"/>
        </w:rPr>
        <w:t>i</w:t>
      </w:r>
      <w:r w:rsidR="0063163D" w:rsidRPr="009B7554">
        <w:rPr>
          <w:lang w:val="es-MX"/>
        </w:rPr>
        <w:t>ó</w:t>
      </w:r>
      <w:r w:rsidRPr="009B7554">
        <w:rPr>
          <w:lang w:val="es-MX"/>
        </w:rPr>
        <w:t>n</w:t>
      </w:r>
      <w:bookmarkEnd w:id="41"/>
      <w:r w:rsidRPr="009B7554">
        <w:rPr>
          <w:lang w:val="es-MX"/>
        </w:rPr>
        <w:t xml:space="preserve"> </w:t>
      </w:r>
      <w:bookmarkEnd w:id="42"/>
      <w:r w:rsidRPr="009B7554">
        <w:rPr>
          <w:color w:val="B4B4B4"/>
          <w:sz w:val="20"/>
          <w:lang w:val="es-MX"/>
        </w:rPr>
        <w:t>(DATA_VALIDATION)</w:t>
      </w:r>
    </w:p>
    <w:p w14:paraId="0025F830" w14:textId="04036926" w:rsidR="00F719A8" w:rsidRPr="009B7554" w:rsidRDefault="009B7554" w:rsidP="00576CFA">
      <w:pPr>
        <w:pStyle w:val="MText"/>
        <w:rPr>
          <w:lang w:val="es-MX"/>
        </w:rPr>
      </w:pPr>
      <w:r w:rsidRPr="009B7554">
        <w:rPr>
          <w:lang w:val="es-MX"/>
        </w:rPr>
        <w:t xml:space="preserve">Tras la presentación del cuestionario UN-CTS, la UNODC comprueba la coherencia con otras fuentes de datos. Los Estados miembros que también forman parte de la Unión Europea o de la Asociación Europea de Libre Comercio, o candidatos o posibles candidatos a la Unión Europea envían sus respuestas </w:t>
      </w:r>
      <w:proofErr w:type="spellStart"/>
      <w:r w:rsidRPr="009B7554">
        <w:rPr>
          <w:lang w:val="es-MX"/>
        </w:rPr>
        <w:t>al</w:t>
      </w:r>
      <w:proofErr w:type="spellEnd"/>
      <w:r w:rsidRPr="009B7554">
        <w:rPr>
          <w:lang w:val="es-MX"/>
        </w:rPr>
        <w:t xml:space="preserve"> UN-CTS a Eurostat para su validación. La Organización de Estados Americanos también revisa las respuestas de sus Estados miembros. Todos los datos presentados por los Estados miembros por otros medios o tomados de otras fuentes se añaden al conjunto de datos tras su revisión y validación por los Estados miembros.</w:t>
      </w:r>
    </w:p>
    <w:p w14:paraId="049B80F0" w14:textId="77777777" w:rsidR="00F87828" w:rsidRPr="009B7554" w:rsidRDefault="00F87828" w:rsidP="00576CFA">
      <w:pPr>
        <w:pStyle w:val="MText"/>
        <w:rPr>
          <w:lang w:val="es-MX"/>
        </w:rPr>
      </w:pPr>
    </w:p>
    <w:p w14:paraId="2CF2A343" w14:textId="3AEE04DE" w:rsidR="00E1050F" w:rsidRPr="00982677" w:rsidRDefault="00E1050F" w:rsidP="00F719A8">
      <w:pPr>
        <w:pStyle w:val="MHeader2"/>
        <w:rPr>
          <w:lang w:val="pt-BR"/>
        </w:rPr>
      </w:pPr>
      <w:r w:rsidRPr="00982677">
        <w:rPr>
          <w:lang w:val="pt-BR"/>
        </w:rPr>
        <w:t xml:space="preserve">4.e. </w:t>
      </w:r>
      <w:bookmarkStart w:id="43" w:name="_Hlk196759883"/>
      <w:r w:rsidRPr="00982677">
        <w:rPr>
          <w:lang w:val="pt-BR"/>
        </w:rPr>
        <w:t>A</w:t>
      </w:r>
      <w:r w:rsidR="0063163D" w:rsidRPr="00982677">
        <w:rPr>
          <w:lang w:val="pt-BR"/>
        </w:rPr>
        <w:t>justes</w:t>
      </w:r>
      <w:bookmarkEnd w:id="43"/>
      <w:r w:rsidRPr="00982677">
        <w:rPr>
          <w:lang w:val="pt-BR"/>
        </w:rPr>
        <w:t xml:space="preserve"> </w:t>
      </w:r>
      <w:r w:rsidRPr="00982677">
        <w:rPr>
          <w:color w:val="B4B4B4"/>
          <w:sz w:val="20"/>
          <w:lang w:val="pt-BR"/>
        </w:rPr>
        <w:t>(ADJUSTMENT)</w:t>
      </w:r>
    </w:p>
    <w:p w14:paraId="7FBAEBBA" w14:textId="2F6921C6" w:rsidR="00EC2915" w:rsidRPr="00982677" w:rsidRDefault="00F87828" w:rsidP="00576CFA">
      <w:pPr>
        <w:pStyle w:val="MText"/>
        <w:rPr>
          <w:lang w:val="pt-BR"/>
        </w:rPr>
      </w:pPr>
      <w:r w:rsidRPr="00982677">
        <w:rPr>
          <w:lang w:val="pt-BR"/>
        </w:rPr>
        <w:lastRenderedPageBreak/>
        <w:t>No</w:t>
      </w:r>
      <w:r w:rsidR="0063163D" w:rsidRPr="00982677">
        <w:rPr>
          <w:lang w:val="pt-BR"/>
        </w:rPr>
        <w:t xml:space="preserve"> aplica. </w:t>
      </w:r>
    </w:p>
    <w:p w14:paraId="086DF8C6" w14:textId="77777777" w:rsidR="00F87828" w:rsidRPr="00982677" w:rsidRDefault="00F87828" w:rsidP="00576CFA">
      <w:pPr>
        <w:pStyle w:val="MText"/>
        <w:rPr>
          <w:lang w:val="pt-BR"/>
        </w:rPr>
      </w:pPr>
    </w:p>
    <w:p w14:paraId="67043C18" w14:textId="4A1141A8" w:rsidR="00D51E7C" w:rsidRPr="0063163D" w:rsidRDefault="00576CFA" w:rsidP="00B3115D">
      <w:pPr>
        <w:pStyle w:val="MHeader2"/>
        <w:rPr>
          <w:lang w:val="es-MX"/>
        </w:rPr>
      </w:pPr>
      <w:r w:rsidRPr="0063163D">
        <w:rPr>
          <w:lang w:val="es-MX"/>
        </w:rPr>
        <w:t xml:space="preserve">4.f. </w:t>
      </w:r>
      <w:bookmarkStart w:id="44" w:name="_Hlk196759892"/>
      <w:r w:rsidR="0063163D" w:rsidRPr="0063163D">
        <w:rPr>
          <w:lang w:val="es-MX"/>
        </w:rPr>
        <w:t>Tratamiento de los valores faltantes</w:t>
      </w:r>
      <w:r w:rsidRPr="0063163D">
        <w:rPr>
          <w:lang w:val="es-MX"/>
        </w:rPr>
        <w:t xml:space="preserve"> (i) </w:t>
      </w:r>
      <w:r w:rsidR="0063163D" w:rsidRPr="0063163D">
        <w:rPr>
          <w:lang w:val="es-MX"/>
        </w:rPr>
        <w:t xml:space="preserve">a </w:t>
      </w:r>
      <w:r w:rsidR="0063163D">
        <w:rPr>
          <w:lang w:val="es-MX"/>
        </w:rPr>
        <w:t>nivel país y</w:t>
      </w:r>
      <w:r w:rsidRPr="0063163D">
        <w:rPr>
          <w:lang w:val="es-MX"/>
        </w:rPr>
        <w:t xml:space="preserve"> (</w:t>
      </w:r>
      <w:proofErr w:type="spellStart"/>
      <w:r w:rsidRPr="0063163D">
        <w:rPr>
          <w:lang w:val="es-MX"/>
        </w:rPr>
        <w:t>ii</w:t>
      </w:r>
      <w:proofErr w:type="spellEnd"/>
      <w:r w:rsidRPr="0063163D">
        <w:rPr>
          <w:lang w:val="es-MX"/>
        </w:rPr>
        <w:t>) a</w:t>
      </w:r>
      <w:r w:rsidR="0063163D">
        <w:rPr>
          <w:lang w:val="es-MX"/>
        </w:rPr>
        <w:t xml:space="preserve"> nivel regional</w:t>
      </w:r>
      <w:r w:rsidRPr="0063163D">
        <w:rPr>
          <w:lang w:val="es-MX"/>
        </w:rPr>
        <w:t xml:space="preserve"> </w:t>
      </w:r>
      <w:bookmarkEnd w:id="44"/>
      <w:r w:rsidRPr="0063163D">
        <w:rPr>
          <w:color w:val="B4B4B4"/>
          <w:sz w:val="20"/>
          <w:lang w:val="es-MX"/>
        </w:rPr>
        <w:t>(IMPUTATION)</w:t>
      </w:r>
    </w:p>
    <w:p w14:paraId="58DCB865" w14:textId="73E978A3" w:rsidR="00D51E7C" w:rsidRPr="009B7554" w:rsidRDefault="00D51E7C" w:rsidP="00D51E7C">
      <w:pPr>
        <w:pStyle w:val="MText"/>
        <w:rPr>
          <w:b/>
          <w:bCs/>
          <w:lang w:val="es-MX"/>
        </w:rPr>
      </w:pPr>
      <w:r w:rsidRPr="009B7554">
        <w:rPr>
          <w:b/>
          <w:bCs/>
          <w:lang w:val="es-MX"/>
        </w:rPr>
        <w:t>•</w:t>
      </w:r>
      <w:r w:rsidRPr="009B7554">
        <w:rPr>
          <w:b/>
          <w:bCs/>
          <w:lang w:val="es-MX"/>
        </w:rPr>
        <w:tab/>
      </w:r>
      <w:bookmarkStart w:id="45" w:name="_Hlk196759900"/>
      <w:bookmarkStart w:id="46" w:name="_Hlk196761427"/>
      <w:r w:rsidR="009B7554" w:rsidRPr="009B7554">
        <w:rPr>
          <w:b/>
          <w:bCs/>
          <w:lang w:val="es-MX"/>
        </w:rPr>
        <w:t>A nivel país</w:t>
      </w:r>
      <w:bookmarkEnd w:id="45"/>
    </w:p>
    <w:bookmarkEnd w:id="46"/>
    <w:p w14:paraId="1B6182A5" w14:textId="286FD9E7" w:rsidR="00D51E7C" w:rsidRPr="009B7554" w:rsidRDefault="009B7554" w:rsidP="00D51E7C">
      <w:pPr>
        <w:pStyle w:val="MText"/>
        <w:rPr>
          <w:lang w:val="es-MX"/>
        </w:rPr>
      </w:pPr>
      <w:r w:rsidRPr="009B7554">
        <w:rPr>
          <w:lang w:val="es-MX"/>
        </w:rPr>
        <w:t>Si faltan valores para un periodo y un país determinados, los valores que faltan se dejan en blanco.</w:t>
      </w:r>
    </w:p>
    <w:p w14:paraId="03F4189E" w14:textId="77777777" w:rsidR="009A2869" w:rsidRPr="009B7554" w:rsidRDefault="009A2869" w:rsidP="00D51E7C">
      <w:pPr>
        <w:pStyle w:val="MText"/>
        <w:rPr>
          <w:highlight w:val="cyan"/>
          <w:lang w:val="es-MX"/>
        </w:rPr>
      </w:pPr>
    </w:p>
    <w:p w14:paraId="06DDC253" w14:textId="15075285" w:rsidR="00D51E7C" w:rsidRPr="009B7554" w:rsidRDefault="00D51E7C" w:rsidP="00D51E7C">
      <w:pPr>
        <w:pStyle w:val="MText"/>
        <w:rPr>
          <w:b/>
          <w:bCs/>
          <w:lang w:val="es-MX"/>
        </w:rPr>
      </w:pPr>
      <w:r w:rsidRPr="009B7554">
        <w:rPr>
          <w:b/>
          <w:bCs/>
          <w:lang w:val="es-MX"/>
        </w:rPr>
        <w:t>•</w:t>
      </w:r>
      <w:r w:rsidRPr="009B7554">
        <w:rPr>
          <w:b/>
          <w:bCs/>
          <w:lang w:val="es-MX"/>
        </w:rPr>
        <w:tab/>
      </w:r>
      <w:bookmarkStart w:id="47" w:name="_Hlk196761434"/>
      <w:bookmarkStart w:id="48" w:name="_Hlk196759906"/>
      <w:r w:rsidR="009B7554" w:rsidRPr="009B7554">
        <w:rPr>
          <w:b/>
          <w:bCs/>
          <w:lang w:val="es-MX"/>
        </w:rPr>
        <w:t>A nivel regional y m</w:t>
      </w:r>
      <w:r w:rsidR="009B7554">
        <w:rPr>
          <w:b/>
          <w:bCs/>
          <w:lang w:val="es-MX"/>
        </w:rPr>
        <w:t>undial</w:t>
      </w:r>
      <w:bookmarkEnd w:id="47"/>
    </w:p>
    <w:bookmarkEnd w:id="48"/>
    <w:p w14:paraId="27033367" w14:textId="50B5E857" w:rsidR="00EC2915" w:rsidRDefault="009B7554" w:rsidP="00576CFA">
      <w:pPr>
        <w:pStyle w:val="MText"/>
        <w:rPr>
          <w:lang w:val="es-MX"/>
        </w:rPr>
      </w:pPr>
      <w:r w:rsidRPr="009B7554">
        <w:rPr>
          <w:lang w:val="es-MX"/>
        </w:rPr>
        <w:t>Para más información, véase la sección 4.g. Agregaciones regionales.</w:t>
      </w:r>
    </w:p>
    <w:p w14:paraId="10EA8837" w14:textId="77777777" w:rsidR="009B7554" w:rsidRPr="009B7554" w:rsidRDefault="009B7554" w:rsidP="00576CFA">
      <w:pPr>
        <w:pStyle w:val="MText"/>
        <w:rPr>
          <w:lang w:val="es-MX"/>
        </w:rPr>
      </w:pPr>
    </w:p>
    <w:p w14:paraId="51FCD280" w14:textId="0EB08C69" w:rsidR="00E1050F" w:rsidRPr="0063163D" w:rsidRDefault="00E1050F" w:rsidP="00F719A8">
      <w:pPr>
        <w:pStyle w:val="MHeader2"/>
        <w:rPr>
          <w:lang w:val="es-MX"/>
        </w:rPr>
      </w:pPr>
      <w:r w:rsidRPr="0063163D">
        <w:rPr>
          <w:lang w:val="es-MX"/>
        </w:rPr>
        <w:t xml:space="preserve">4.g. </w:t>
      </w:r>
      <w:bookmarkStart w:id="49" w:name="_Hlk196759916"/>
      <w:r w:rsidR="0063163D" w:rsidRPr="0063163D">
        <w:rPr>
          <w:lang w:val="es-MX"/>
        </w:rPr>
        <w:t>Agregados regionales</w:t>
      </w:r>
      <w:r w:rsidRPr="0063163D">
        <w:rPr>
          <w:lang w:val="es-MX"/>
        </w:rPr>
        <w:t xml:space="preserve"> </w:t>
      </w:r>
      <w:bookmarkEnd w:id="49"/>
      <w:r w:rsidRPr="0063163D">
        <w:rPr>
          <w:color w:val="B4B4B4"/>
          <w:sz w:val="20"/>
          <w:lang w:val="es-MX"/>
        </w:rPr>
        <w:t>(REG_AGG)</w:t>
      </w:r>
    </w:p>
    <w:p w14:paraId="6AE9E271" w14:textId="390E4174" w:rsidR="00A65EFB" w:rsidRPr="009B7554" w:rsidRDefault="009B7554" w:rsidP="009A2869">
      <w:pPr>
        <w:pStyle w:val="MText"/>
        <w:rPr>
          <w:lang w:val="es-MX"/>
        </w:rPr>
      </w:pPr>
      <w:r w:rsidRPr="009B7554">
        <w:rPr>
          <w:lang w:val="es-MX"/>
        </w:rPr>
        <w:t xml:space="preserve">Los métodos utilizados para estimar el número de personas retenidas, total, por sexo, sentenciadas y no sentenciadas, a nivel global y regional pretenden hacer el mejor uso posible de los datos disponibles. Para cada agregado regional, el número de personas retenidas debería corresponder a la suma de todos los datos nacionales de este tipo en la región, en cada año. Sin embargo, para muchos países no se dispone de datos sobre las personas retenidas, o sólo se dispone de datos para algunos </w:t>
      </w:r>
      <w:proofErr w:type="gramStart"/>
      <w:r w:rsidRPr="009B7554">
        <w:rPr>
          <w:lang w:val="es-MX"/>
        </w:rPr>
        <w:t>años .</w:t>
      </w:r>
      <w:proofErr w:type="gramEnd"/>
      <w:r w:rsidRPr="009B7554">
        <w:rPr>
          <w:lang w:val="es-MX"/>
        </w:rPr>
        <w:t xml:space="preserve"> En consecuencia, la muestra de países con datos disponibles es diferente para cada año. Si no se aborda este problema, se producirían incoherencias, ya que los agregados regionales se extraerían de un conjunto diferente de países cada año.</w:t>
      </w:r>
    </w:p>
    <w:p w14:paraId="29A10249" w14:textId="116C24CA" w:rsidR="00A65EFB" w:rsidRPr="009B7554" w:rsidRDefault="009B7554" w:rsidP="009A2869">
      <w:pPr>
        <w:pStyle w:val="MText"/>
        <w:rPr>
          <w:lang w:val="es-MX"/>
        </w:rPr>
      </w:pPr>
      <w:r w:rsidRPr="009B7554">
        <w:rPr>
          <w:lang w:val="es-MX"/>
        </w:rPr>
        <w:t>Las imputaciones para el total de personas retenidas se realizan sobre la tasa a nivel de país del total de personas retenidas por cada 100.000 habitantes. Si un país sólo tiene un punto de datos disponible desde el año 2000, todos los valores que faltan se igualan a este único punto de datos disponible. Este enfoque tiene en cuenta el crecimiento de la población a lo largo del tiempo y no significa que la serie sea constante en términos absolutos.</w:t>
      </w:r>
    </w:p>
    <w:p w14:paraId="20E18077" w14:textId="48DB22F8" w:rsidR="00A65EFB" w:rsidRPr="00F36079" w:rsidRDefault="009B7554" w:rsidP="009A2869">
      <w:pPr>
        <w:pStyle w:val="MText"/>
        <w:rPr>
          <w:lang w:val="es-MX"/>
        </w:rPr>
      </w:pPr>
      <w:r w:rsidRPr="009B7554">
        <w:rPr>
          <w:lang w:val="es-MX"/>
        </w:rPr>
        <w:t xml:space="preserve">Si un país tiene de dos a ocho puntos de datos disponibles, los valores que faltan entre dos puntos de datos se estiman por interpolación lineal, y si hay valores que faltan que son temporalmente anteriores (o posteriores) al punto de datos más antiguo (o más reciente) disponible, los valores al principio (o al final) de la serie se rellenan con el punto de datos más antiguo (o más reciente) disponible. Si un país tiene más de ocho puntos de datos disponibles en la serie temporal respectiva, los valores que faltan entre dos puntos de datos se estiman mediante interpolación lineal, y si hay valores que faltan que son temporalmente anteriores (o posteriores) al primer (o último) punto de datos disponible, los valores al final de la serie temporal se imputan utilizando un enfoque de suavizado exponencial (para más información, véase </w:t>
      </w:r>
      <w:hyperlink r:id="rId16" w:history="1">
        <w:r w:rsidRPr="005E3DEC">
          <w:rPr>
            <w:rStyle w:val="Hipervnculo"/>
            <w:lang w:val="es-MX"/>
          </w:rPr>
          <w:t>https://afit-r.github.io/ts_exp_smoothing</w:t>
        </w:r>
      </w:hyperlink>
      <w:r w:rsidRPr="009B7554">
        <w:rPr>
          <w:lang w:val="es-MX"/>
        </w:rPr>
        <w:t>).</w:t>
      </w:r>
      <w:r w:rsidRPr="009A2869">
        <w:rPr>
          <w:rStyle w:val="Refdenotaalpie"/>
        </w:rPr>
        <w:footnoteReference w:id="2"/>
      </w:r>
      <w:r w:rsidRPr="009B7554">
        <w:rPr>
          <w:lang w:val="es-MX"/>
        </w:rPr>
        <w:t xml:space="preserve"> </w:t>
      </w:r>
    </w:p>
    <w:p w14:paraId="4BF3E2CB" w14:textId="56F2AFA2" w:rsidR="00A65EFB" w:rsidRPr="00F36079" w:rsidRDefault="009B7554" w:rsidP="009B7554">
      <w:pPr>
        <w:spacing w:after="0"/>
        <w:rPr>
          <w:rFonts w:eastAsia="Times New Roman" w:cs="Times New Roman"/>
          <w:color w:val="4A4A4A"/>
          <w:sz w:val="21"/>
          <w:szCs w:val="21"/>
          <w:lang w:val="es-MX" w:eastAsia="en-GB"/>
        </w:rPr>
      </w:pPr>
      <w:r w:rsidRPr="009B7554">
        <w:rPr>
          <w:rFonts w:eastAsia="Times New Roman" w:cs="Times New Roman"/>
          <w:color w:val="4A4A4A"/>
          <w:sz w:val="21"/>
          <w:szCs w:val="21"/>
          <w:lang w:val="es-MX" w:eastAsia="en-GB"/>
        </w:rPr>
        <w:t>Una vez calculadas las series a nivel nacional, se agregan a nivel regional. Los recuentos regionales de personas retenidas se calculan para cada año multiplicando la tasa media regional por 100.000 habitantes por la población total de la región respectiva (dividida por 100.000).</w:t>
      </w:r>
      <w:r w:rsidR="00A65EFB" w:rsidRPr="009A2869">
        <w:rPr>
          <w:rFonts w:eastAsia="Times New Roman" w:cs="Times New Roman"/>
          <w:color w:val="4A4A4A"/>
          <w:sz w:val="21"/>
          <w:szCs w:val="21"/>
          <w:lang w:eastAsia="en-GB"/>
        </w:rPr>
        <w:footnoteReference w:id="3"/>
      </w:r>
      <w:r w:rsidR="3ACA1409" w:rsidRPr="009B7554">
        <w:rPr>
          <w:rFonts w:eastAsia="Times New Roman" w:cs="Times New Roman"/>
          <w:color w:val="4A4A4A"/>
          <w:sz w:val="21"/>
          <w:szCs w:val="21"/>
          <w:lang w:val="es-MX" w:eastAsia="en-GB"/>
        </w:rPr>
        <w:t xml:space="preserve"> </w:t>
      </w:r>
      <w:r w:rsidRPr="009B7554">
        <w:rPr>
          <w:rFonts w:eastAsia="Times New Roman" w:cs="Times New Roman"/>
          <w:color w:val="4A4A4A"/>
          <w:sz w:val="21"/>
          <w:szCs w:val="21"/>
          <w:lang w:val="es-MX" w:eastAsia="en-GB"/>
        </w:rPr>
        <w:t xml:space="preserve">Las regiones son las de los </w:t>
      </w:r>
      <w:hyperlink r:id="rId17" w:history="1">
        <w:r w:rsidRPr="009B7554">
          <w:rPr>
            <w:rStyle w:val="Hipervnculo"/>
            <w:rFonts w:eastAsia="Times New Roman" w:cs="Times New Roman"/>
            <w:sz w:val="21"/>
            <w:szCs w:val="21"/>
            <w:lang w:val="es-MX" w:eastAsia="en-GB"/>
          </w:rPr>
          <w:t>“Códigos estandarizados de país o área para uso estadístico”</w:t>
        </w:r>
      </w:hyperlink>
      <w:r w:rsidRPr="009B7554">
        <w:rPr>
          <w:rFonts w:eastAsia="Times New Roman" w:cs="Times New Roman"/>
          <w:color w:val="4A4A4A"/>
          <w:sz w:val="21"/>
          <w:szCs w:val="21"/>
          <w:lang w:val="es-MX" w:eastAsia="en-GB"/>
        </w:rPr>
        <w:t xml:space="preserve"> de las Naciones Unidas. </w:t>
      </w:r>
    </w:p>
    <w:p w14:paraId="383E054D" w14:textId="77777777" w:rsidR="00485ED4" w:rsidRPr="00F36079" w:rsidRDefault="00485ED4" w:rsidP="00576CFA">
      <w:pPr>
        <w:pStyle w:val="MText"/>
        <w:rPr>
          <w:lang w:val="es-MX"/>
        </w:rPr>
      </w:pPr>
    </w:p>
    <w:p w14:paraId="71213FF2" w14:textId="5E5A183A" w:rsidR="00E1050F" w:rsidRPr="0063163D" w:rsidRDefault="00576CFA" w:rsidP="00F719A8">
      <w:pPr>
        <w:pStyle w:val="MHeader2"/>
        <w:rPr>
          <w:lang w:val="es-MX"/>
        </w:rPr>
      </w:pPr>
      <w:r w:rsidRPr="0063163D">
        <w:rPr>
          <w:lang w:val="es-MX"/>
        </w:rPr>
        <w:t xml:space="preserve">4.h. </w:t>
      </w:r>
      <w:bookmarkStart w:id="50" w:name="_Hlk196759925"/>
      <w:r w:rsidR="0063163D" w:rsidRPr="0063163D">
        <w:rPr>
          <w:lang w:val="es-MX"/>
        </w:rPr>
        <w:t>Métodos y orientación a disposición de los países pa</w:t>
      </w:r>
      <w:r w:rsidR="0063163D">
        <w:rPr>
          <w:lang w:val="es-MX"/>
        </w:rPr>
        <w:t>ra la recolección de los datos a nivel nacional</w:t>
      </w:r>
      <w:r w:rsidRPr="0063163D">
        <w:rPr>
          <w:lang w:val="es-MX"/>
        </w:rPr>
        <w:t xml:space="preserve"> </w:t>
      </w:r>
      <w:bookmarkEnd w:id="50"/>
      <w:r w:rsidRPr="0063163D">
        <w:rPr>
          <w:color w:val="B4B4B4"/>
          <w:sz w:val="20"/>
          <w:lang w:val="es-MX"/>
        </w:rPr>
        <w:t>(DOC_METHOD)</w:t>
      </w:r>
    </w:p>
    <w:p w14:paraId="78D6A997" w14:textId="33BF90F2" w:rsidR="00065278" w:rsidRPr="00065278" w:rsidRDefault="00065278" w:rsidP="00065278">
      <w:pPr>
        <w:pStyle w:val="MText"/>
        <w:rPr>
          <w:lang w:val="es-MX"/>
        </w:rPr>
      </w:pPr>
      <w:r w:rsidRPr="00065278">
        <w:rPr>
          <w:lang w:val="es-MX"/>
        </w:rPr>
        <w:lastRenderedPageBreak/>
        <w:t xml:space="preserve">La </w:t>
      </w:r>
      <w:hyperlink r:id="rId18" w:history="1">
        <w:r w:rsidRPr="00065278">
          <w:rPr>
            <w:rStyle w:val="Hipervnculo"/>
            <w:lang w:val="es-MX"/>
          </w:rPr>
          <w:t>Clasificación Internacional de Delitos con Fines Estadísticos</w:t>
        </w:r>
      </w:hyperlink>
      <w:r w:rsidRPr="00065278">
        <w:rPr>
          <w:lang w:val="es-MX"/>
        </w:rPr>
        <w:t xml:space="preserve"> (</w:t>
      </w:r>
      <w:r>
        <w:rPr>
          <w:lang w:val="es-MX"/>
        </w:rPr>
        <w:t>“</w:t>
      </w:r>
      <w:r w:rsidRPr="00065278">
        <w:rPr>
          <w:lang w:val="es-MX"/>
        </w:rPr>
        <w:t>ICCS</w:t>
      </w:r>
      <w:r>
        <w:rPr>
          <w:lang w:val="es-MX"/>
        </w:rPr>
        <w:t>”</w:t>
      </w:r>
      <w:r w:rsidRPr="00065278">
        <w:rPr>
          <w:lang w:val="es-MX"/>
        </w:rPr>
        <w:t>, por sus siglas en inglés) proporciona un marco global para la elaboración de estadísticas sobre delincuencia y justicia penal. Su unidad primaria de clasificación es el acto o suceso que constituye una infracción penal y la descripción de los actos delictivos se basa en comportamientos y no en disposiciones legales.</w:t>
      </w:r>
    </w:p>
    <w:p w14:paraId="5E34EE01" w14:textId="77777777" w:rsidR="00065278" w:rsidRPr="00065278" w:rsidRDefault="00065278" w:rsidP="00065278">
      <w:pPr>
        <w:pStyle w:val="MText"/>
        <w:rPr>
          <w:lang w:val="es-MX"/>
        </w:rPr>
      </w:pPr>
      <w:r w:rsidRPr="00065278">
        <w:rPr>
          <w:lang w:val="es-MX"/>
        </w:rPr>
        <w:t>La Clasificación Internacional de Delitos es una herramienta para comprender el alcance de la delincuencia y los factores que la impulsan, pero también puede utilizarse para mejorar la calidad de los datos sobre delincuencia y justicia penal a nivel nacional y para apoyar los esfuerzos nacionales de seguimiento de las metas de los ODS en los ámbitos de la seguridad pública, la trata de personas, la corrupción y el acceso a la justicia.</w:t>
      </w:r>
    </w:p>
    <w:p w14:paraId="31C57E25" w14:textId="2A42F9D3" w:rsidR="00065278" w:rsidRDefault="00065278" w:rsidP="00065278">
      <w:pPr>
        <w:pStyle w:val="MText"/>
        <w:rPr>
          <w:lang w:val="es-MX"/>
        </w:rPr>
      </w:pPr>
      <w:r w:rsidRPr="00065278">
        <w:rPr>
          <w:lang w:val="es-MX"/>
        </w:rPr>
        <w:t xml:space="preserve">El cuestionario UN-CTS es totalmente coherente con los conceptos, categorías y definiciones de la Clasificación Internacional y responde a las necesidades de datos a nivel nacional e internacional, incluidos los datos necesarios para supervisar el progreso en varios </w:t>
      </w:r>
      <w:hyperlink r:id="rId19" w:history="1">
        <w:r w:rsidRPr="00065278">
          <w:rPr>
            <w:rStyle w:val="Hipervnculo"/>
            <w:lang w:val="es-MX"/>
          </w:rPr>
          <w:t>Objetivos de Desarrollo Sostenible</w:t>
        </w:r>
      </w:hyperlink>
      <w:r w:rsidRPr="00065278">
        <w:rPr>
          <w:lang w:val="es-MX"/>
        </w:rPr>
        <w:t xml:space="preserve"> (ODS) en las áreas de delincuencia, violencia, justicia y estado de derecho bajo el mandato de la UNODC.</w:t>
      </w:r>
    </w:p>
    <w:p w14:paraId="062B5497" w14:textId="77777777" w:rsidR="00065278" w:rsidRPr="00065278" w:rsidRDefault="00065278" w:rsidP="00065278">
      <w:pPr>
        <w:pStyle w:val="MText"/>
        <w:rPr>
          <w:lang w:val="es-MX"/>
        </w:rPr>
      </w:pPr>
    </w:p>
    <w:p w14:paraId="494C36E8" w14:textId="7A6A20A2" w:rsidR="00E1050F" w:rsidRPr="0063163D" w:rsidRDefault="00576CFA" w:rsidP="00F719A8">
      <w:pPr>
        <w:pStyle w:val="MHeader2"/>
        <w:rPr>
          <w:lang w:val="es-MX"/>
        </w:rPr>
      </w:pPr>
      <w:r w:rsidRPr="0063163D">
        <w:rPr>
          <w:lang w:val="es-MX"/>
        </w:rPr>
        <w:t xml:space="preserve">4.i. </w:t>
      </w:r>
      <w:bookmarkStart w:id="51" w:name="_Hlk196759932"/>
      <w:r w:rsidR="0063163D" w:rsidRPr="0063163D">
        <w:rPr>
          <w:lang w:val="es-MX"/>
        </w:rPr>
        <w:t>Gestión de calidad</w:t>
      </w:r>
      <w:r w:rsidRPr="0063163D">
        <w:rPr>
          <w:lang w:val="es-MX"/>
        </w:rPr>
        <w:t xml:space="preserve"> </w:t>
      </w:r>
      <w:bookmarkEnd w:id="51"/>
      <w:r w:rsidRPr="0063163D">
        <w:rPr>
          <w:color w:val="B4B4B4"/>
          <w:sz w:val="20"/>
          <w:lang w:val="es-MX"/>
        </w:rPr>
        <w:t>(QUALITY_MGMNT)</w:t>
      </w:r>
    </w:p>
    <w:p w14:paraId="244F9D81" w14:textId="1EB2F09A" w:rsidR="00B949D5" w:rsidRPr="00F36079" w:rsidRDefault="0063163D" w:rsidP="00576CFA">
      <w:pPr>
        <w:pStyle w:val="MText"/>
        <w:rPr>
          <w:lang w:val="es-MX"/>
        </w:rPr>
      </w:pPr>
      <w:r w:rsidRPr="00F36079">
        <w:rPr>
          <w:lang w:val="es-MX"/>
        </w:rPr>
        <w:t>Véase la sección 4.d. Validación</w:t>
      </w:r>
    </w:p>
    <w:p w14:paraId="0F3A5A8B" w14:textId="77777777" w:rsidR="0063163D" w:rsidRPr="00F36079" w:rsidRDefault="0063163D" w:rsidP="00576CFA">
      <w:pPr>
        <w:pStyle w:val="MText"/>
        <w:rPr>
          <w:lang w:val="es-MX"/>
        </w:rPr>
      </w:pPr>
    </w:p>
    <w:p w14:paraId="17B979CA" w14:textId="63077D41" w:rsidR="00E1050F" w:rsidRPr="0063163D" w:rsidRDefault="00E1050F" w:rsidP="00F719A8">
      <w:pPr>
        <w:pStyle w:val="MHeader2"/>
        <w:rPr>
          <w:lang w:val="es-MX"/>
        </w:rPr>
      </w:pPr>
      <w:r w:rsidRPr="0063163D">
        <w:rPr>
          <w:lang w:val="es-MX"/>
        </w:rPr>
        <w:t xml:space="preserve">4.j </w:t>
      </w:r>
      <w:bookmarkStart w:id="52" w:name="_Hlk196759938"/>
      <w:r w:rsidR="0063163D" w:rsidRPr="0063163D">
        <w:rPr>
          <w:lang w:val="es-MX"/>
        </w:rPr>
        <w:t>Aseguramiento de calidad</w:t>
      </w:r>
      <w:r w:rsidRPr="0063163D">
        <w:rPr>
          <w:lang w:val="es-MX"/>
        </w:rPr>
        <w:t xml:space="preserve"> </w:t>
      </w:r>
      <w:bookmarkEnd w:id="52"/>
      <w:r w:rsidRPr="0063163D">
        <w:rPr>
          <w:color w:val="B4B4B4"/>
          <w:sz w:val="20"/>
          <w:lang w:val="es-MX"/>
        </w:rPr>
        <w:t>(QUALITY_ASSURE)</w:t>
      </w:r>
    </w:p>
    <w:p w14:paraId="1347CF13" w14:textId="77777777" w:rsidR="0063163D" w:rsidRPr="00F36079" w:rsidRDefault="0063163D" w:rsidP="0063163D">
      <w:pPr>
        <w:pStyle w:val="MText"/>
        <w:rPr>
          <w:lang w:val="es-MX"/>
        </w:rPr>
      </w:pPr>
      <w:r w:rsidRPr="00F36079">
        <w:rPr>
          <w:lang w:val="es-MX"/>
        </w:rPr>
        <w:t>Véase la sección 4.d. Validación</w:t>
      </w:r>
    </w:p>
    <w:p w14:paraId="03EF3244" w14:textId="77777777" w:rsidR="00EC2915" w:rsidRPr="00F36079" w:rsidRDefault="00EC2915" w:rsidP="00576CFA">
      <w:pPr>
        <w:pStyle w:val="MText"/>
        <w:rPr>
          <w:lang w:val="es-MX"/>
        </w:rPr>
      </w:pPr>
    </w:p>
    <w:p w14:paraId="34ADD322" w14:textId="11153A60" w:rsidR="00E1050F" w:rsidRPr="0063163D" w:rsidRDefault="00576CFA" w:rsidP="00F719A8">
      <w:pPr>
        <w:pStyle w:val="MHeader2"/>
        <w:rPr>
          <w:lang w:val="es-MX"/>
        </w:rPr>
      </w:pPr>
      <w:r w:rsidRPr="0063163D">
        <w:rPr>
          <w:lang w:val="es-MX"/>
        </w:rPr>
        <w:t xml:space="preserve">4.k </w:t>
      </w:r>
      <w:bookmarkStart w:id="53" w:name="_Hlk196759945"/>
      <w:r w:rsidR="0063163D" w:rsidRPr="0063163D">
        <w:rPr>
          <w:lang w:val="es-MX"/>
        </w:rPr>
        <w:t>Evaluación de calidad</w:t>
      </w:r>
      <w:r w:rsidRPr="0063163D">
        <w:rPr>
          <w:lang w:val="es-MX"/>
        </w:rPr>
        <w:t xml:space="preserve"> </w:t>
      </w:r>
      <w:bookmarkEnd w:id="53"/>
      <w:r w:rsidRPr="0063163D">
        <w:rPr>
          <w:color w:val="B4B4B4"/>
          <w:sz w:val="20"/>
          <w:lang w:val="es-MX"/>
        </w:rPr>
        <w:t>(QUALITY_ASSMNT)</w:t>
      </w:r>
    </w:p>
    <w:p w14:paraId="1EBD4617" w14:textId="77777777" w:rsidR="0063163D" w:rsidRPr="00F36079" w:rsidRDefault="0063163D" w:rsidP="0063163D">
      <w:pPr>
        <w:pStyle w:val="MText"/>
        <w:rPr>
          <w:lang w:val="es-MX"/>
        </w:rPr>
      </w:pPr>
      <w:r w:rsidRPr="00F36079">
        <w:rPr>
          <w:lang w:val="es-MX"/>
        </w:rPr>
        <w:t>Véase la sección 4.d. Validación</w:t>
      </w:r>
    </w:p>
    <w:p w14:paraId="326EB0AB" w14:textId="77777777" w:rsidR="00576CFA" w:rsidRPr="00F36079" w:rsidRDefault="00576CFA" w:rsidP="00576CFA">
      <w:pPr>
        <w:pStyle w:val="MText"/>
        <w:rPr>
          <w:lang w:val="es-MX"/>
        </w:rPr>
      </w:pPr>
    </w:p>
    <w:p w14:paraId="5B7C52CE" w14:textId="77777777" w:rsidR="00576CFA" w:rsidRPr="00F36079" w:rsidRDefault="00576CFA" w:rsidP="00576CFA">
      <w:pPr>
        <w:pStyle w:val="MText"/>
        <w:rPr>
          <w:lang w:val="es-MX"/>
        </w:rPr>
      </w:pPr>
    </w:p>
    <w:p w14:paraId="4CD8F3EF" w14:textId="6B0535D0" w:rsidR="00F719A8" w:rsidRPr="0063163D" w:rsidRDefault="00576CFA" w:rsidP="00B3115D">
      <w:pPr>
        <w:pStyle w:val="MHeader"/>
        <w:spacing w:after="100"/>
        <w:rPr>
          <w:lang w:val="es-MX"/>
        </w:rPr>
      </w:pPr>
      <w:r w:rsidRPr="0063163D">
        <w:rPr>
          <w:lang w:val="es-MX"/>
        </w:rPr>
        <w:t xml:space="preserve">5. </w:t>
      </w:r>
      <w:bookmarkStart w:id="54" w:name="_Hlk196759953"/>
      <w:r w:rsidR="0063163D" w:rsidRPr="0063163D">
        <w:rPr>
          <w:lang w:val="es-MX"/>
        </w:rPr>
        <w:t>Disponibilidad y desagregación de datos</w:t>
      </w:r>
      <w:r w:rsidRPr="0063163D">
        <w:rPr>
          <w:lang w:val="es-MX"/>
        </w:rPr>
        <w:t xml:space="preserve"> </w:t>
      </w:r>
      <w:bookmarkEnd w:id="54"/>
      <w:r w:rsidRPr="0063163D">
        <w:rPr>
          <w:color w:val="B4B4B4"/>
          <w:sz w:val="20"/>
          <w:lang w:val="es-MX"/>
        </w:rPr>
        <w:t>(COVERAGE)</w:t>
      </w:r>
    </w:p>
    <w:p w14:paraId="464A8CCF" w14:textId="0C85572C" w:rsidR="00576CFA" w:rsidRPr="00065278" w:rsidRDefault="00D51E7C" w:rsidP="00576CFA">
      <w:pPr>
        <w:pStyle w:val="MText"/>
        <w:rPr>
          <w:b/>
          <w:bCs/>
          <w:lang w:val="es-MX"/>
        </w:rPr>
      </w:pPr>
      <w:bookmarkStart w:id="55" w:name="_Hlk196759958"/>
      <w:r w:rsidRPr="00065278">
        <w:rPr>
          <w:b/>
          <w:bCs/>
          <w:lang w:val="es-MX"/>
        </w:rPr>
        <w:t>D</w:t>
      </w:r>
      <w:r w:rsidR="00065278" w:rsidRPr="00065278">
        <w:rPr>
          <w:b/>
          <w:bCs/>
          <w:lang w:val="es-MX"/>
        </w:rPr>
        <w:t>isponibilidad de datos</w:t>
      </w:r>
      <w:r w:rsidRPr="00065278">
        <w:rPr>
          <w:b/>
          <w:bCs/>
          <w:lang w:val="es-MX"/>
        </w:rPr>
        <w:t>:</w:t>
      </w:r>
    </w:p>
    <w:bookmarkEnd w:id="55"/>
    <w:p w14:paraId="3EB07D3F" w14:textId="77D28926" w:rsidR="002516C4" w:rsidRPr="00065278" w:rsidRDefault="00065278" w:rsidP="002516C4">
      <w:pPr>
        <w:pStyle w:val="MText"/>
        <w:rPr>
          <w:lang w:val="es-MX"/>
        </w:rPr>
      </w:pPr>
      <w:r w:rsidRPr="00065278">
        <w:rPr>
          <w:lang w:val="es-MX"/>
        </w:rPr>
        <w:t xml:space="preserve">Se dispone de datos </w:t>
      </w:r>
      <w:proofErr w:type="spellStart"/>
      <w:r w:rsidRPr="00065278">
        <w:rPr>
          <w:lang w:val="es-MX"/>
        </w:rPr>
        <w:t>del</w:t>
      </w:r>
      <w:proofErr w:type="spellEnd"/>
      <w:r w:rsidRPr="00065278">
        <w:rPr>
          <w:lang w:val="es-MX"/>
        </w:rPr>
        <w:t xml:space="preserve"> UN-CTS sobre detenidos sin sentencia y totales para unos 110 países/territorios (2022). La cobertura de países puede mejorar si se incluyen otras fuentes (instituciones de investigación y ONG) (se dispone de datos de otros 80 países/territorios, con lo que el total para el periodo 2010-2021 supera los 190 países/territorios).</w:t>
      </w:r>
    </w:p>
    <w:p w14:paraId="7FABBF9C" w14:textId="77777777" w:rsidR="002516C4" w:rsidRPr="00065278" w:rsidRDefault="002516C4" w:rsidP="00576CFA">
      <w:pPr>
        <w:pStyle w:val="MText"/>
        <w:rPr>
          <w:highlight w:val="cyan"/>
          <w:lang w:val="es-MX"/>
        </w:rPr>
      </w:pPr>
    </w:p>
    <w:p w14:paraId="5853D6F7" w14:textId="24B32E37" w:rsidR="00D51E7C" w:rsidRPr="00065278" w:rsidRDefault="00065278" w:rsidP="00576CFA">
      <w:pPr>
        <w:pStyle w:val="MText"/>
        <w:rPr>
          <w:b/>
          <w:bCs/>
          <w:lang w:val="es-MX"/>
        </w:rPr>
      </w:pPr>
      <w:bookmarkStart w:id="56" w:name="_Hlk196759962"/>
      <w:r w:rsidRPr="00065278">
        <w:rPr>
          <w:b/>
          <w:bCs/>
          <w:lang w:val="es-MX"/>
        </w:rPr>
        <w:t>Serie de tiempo</w:t>
      </w:r>
      <w:r w:rsidR="00D51E7C" w:rsidRPr="00065278">
        <w:rPr>
          <w:b/>
          <w:bCs/>
          <w:lang w:val="es-MX"/>
        </w:rPr>
        <w:t>:</w:t>
      </w:r>
    </w:p>
    <w:bookmarkEnd w:id="56"/>
    <w:p w14:paraId="55187018" w14:textId="4826E55E" w:rsidR="00C12F03" w:rsidRPr="00065278" w:rsidRDefault="00C12F03" w:rsidP="00576CFA">
      <w:pPr>
        <w:pStyle w:val="MText"/>
        <w:rPr>
          <w:highlight w:val="cyan"/>
          <w:lang w:val="es-MX"/>
        </w:rPr>
      </w:pPr>
      <w:r w:rsidRPr="00065278">
        <w:rPr>
          <w:lang w:val="es-MX"/>
        </w:rPr>
        <w:t>2003-</w:t>
      </w:r>
      <w:r w:rsidR="00065278" w:rsidRPr="00065278">
        <w:rPr>
          <w:lang w:val="es-MX"/>
        </w:rPr>
        <w:t>al</w:t>
      </w:r>
      <w:r w:rsidR="00065278">
        <w:rPr>
          <w:lang w:val="es-MX"/>
        </w:rPr>
        <w:t xml:space="preserve"> presente</w:t>
      </w:r>
    </w:p>
    <w:p w14:paraId="760C013A" w14:textId="4597FCBD" w:rsidR="00D51E7C" w:rsidRPr="00065278" w:rsidRDefault="00D51E7C" w:rsidP="00576CFA">
      <w:pPr>
        <w:pStyle w:val="MText"/>
        <w:rPr>
          <w:highlight w:val="cyan"/>
          <w:lang w:val="es-MX"/>
        </w:rPr>
      </w:pPr>
    </w:p>
    <w:p w14:paraId="72C7C370" w14:textId="01593BD8" w:rsidR="00D51E7C" w:rsidRPr="00065278" w:rsidRDefault="00D51E7C" w:rsidP="00576CFA">
      <w:pPr>
        <w:pStyle w:val="MText"/>
        <w:rPr>
          <w:b/>
          <w:bCs/>
          <w:lang w:val="es-MX"/>
        </w:rPr>
      </w:pPr>
      <w:bookmarkStart w:id="57" w:name="_Hlk196759967"/>
      <w:r w:rsidRPr="00065278">
        <w:rPr>
          <w:b/>
          <w:bCs/>
          <w:lang w:val="es-MX"/>
        </w:rPr>
        <w:t>D</w:t>
      </w:r>
      <w:r w:rsidR="00065278" w:rsidRPr="00065278">
        <w:rPr>
          <w:b/>
          <w:bCs/>
          <w:lang w:val="es-MX"/>
        </w:rPr>
        <w:t>e</w:t>
      </w:r>
      <w:r w:rsidRPr="00065278">
        <w:rPr>
          <w:b/>
          <w:bCs/>
          <w:lang w:val="es-MX"/>
        </w:rPr>
        <w:t>sag</w:t>
      </w:r>
      <w:r w:rsidR="00065278" w:rsidRPr="00065278">
        <w:rPr>
          <w:b/>
          <w:bCs/>
          <w:lang w:val="es-MX"/>
        </w:rPr>
        <w:t>regación</w:t>
      </w:r>
      <w:r w:rsidRPr="00065278">
        <w:rPr>
          <w:b/>
          <w:bCs/>
          <w:lang w:val="es-MX"/>
        </w:rPr>
        <w:t>:</w:t>
      </w:r>
    </w:p>
    <w:bookmarkEnd w:id="57"/>
    <w:p w14:paraId="66FF79CD" w14:textId="77777777" w:rsidR="00065278" w:rsidRPr="00065278" w:rsidRDefault="00065278" w:rsidP="00065278">
      <w:pPr>
        <w:shd w:val="clear" w:color="auto" w:fill="FFFFFF" w:themeFill="background1"/>
        <w:spacing w:after="0"/>
        <w:rPr>
          <w:rFonts w:eastAsia="Times New Roman" w:cs="Times New Roman"/>
          <w:color w:val="4A4A4A"/>
          <w:sz w:val="21"/>
          <w:szCs w:val="21"/>
          <w:lang w:val="es-MX" w:eastAsia="en-GB"/>
        </w:rPr>
      </w:pPr>
      <w:r w:rsidRPr="00065278">
        <w:rPr>
          <w:rFonts w:eastAsia="Times New Roman" w:cs="Times New Roman"/>
          <w:color w:val="4A4A4A"/>
          <w:sz w:val="21"/>
          <w:szCs w:val="21"/>
          <w:lang w:val="es-MX" w:eastAsia="en-GB"/>
        </w:rPr>
        <w:t>Los desgloses recomendados para este indicador son:</w:t>
      </w:r>
    </w:p>
    <w:p w14:paraId="71F09FF6" w14:textId="77777777" w:rsidR="00065278" w:rsidRPr="00065278" w:rsidRDefault="00065278" w:rsidP="00065278">
      <w:pPr>
        <w:shd w:val="clear" w:color="auto" w:fill="FFFFFF" w:themeFill="background1"/>
        <w:spacing w:after="0"/>
        <w:rPr>
          <w:rFonts w:eastAsia="Times New Roman" w:cs="Times New Roman"/>
          <w:color w:val="4A4A4A"/>
          <w:sz w:val="21"/>
          <w:szCs w:val="21"/>
          <w:lang w:val="es-MX" w:eastAsia="en-GB"/>
        </w:rPr>
      </w:pPr>
      <w:r w:rsidRPr="00065278">
        <w:rPr>
          <w:rFonts w:eastAsia="Times New Roman" w:cs="Times New Roman"/>
          <w:color w:val="4A4A4A"/>
          <w:sz w:val="21"/>
          <w:szCs w:val="21"/>
          <w:lang w:val="es-MX" w:eastAsia="en-GB"/>
        </w:rPr>
        <w:t>- condición de edad (menor frente a adulto) y sexo (hombre/mujer)</w:t>
      </w:r>
    </w:p>
    <w:p w14:paraId="24B8CE7C" w14:textId="37358F30" w:rsidR="00065278" w:rsidRPr="00065278" w:rsidRDefault="00065278" w:rsidP="00065278">
      <w:pPr>
        <w:shd w:val="clear" w:color="auto" w:fill="FFFFFF" w:themeFill="background1"/>
        <w:spacing w:after="0"/>
        <w:rPr>
          <w:rFonts w:eastAsia="Times New Roman" w:cs="Times New Roman"/>
          <w:color w:val="4A4A4A"/>
          <w:sz w:val="21"/>
          <w:szCs w:val="21"/>
          <w:lang w:val="es-MX" w:eastAsia="en-GB"/>
        </w:rPr>
      </w:pPr>
      <w:r w:rsidRPr="00065278">
        <w:rPr>
          <w:rFonts w:eastAsia="Times New Roman" w:cs="Times New Roman"/>
          <w:color w:val="4A4A4A"/>
          <w:sz w:val="21"/>
          <w:szCs w:val="21"/>
          <w:lang w:val="es-MX" w:eastAsia="en-GB"/>
        </w:rPr>
        <w:t>- duración de la detención preventiva/sin sentencia (por ejemplo, menos de 6 meses, 6-12 meses, más de 1 año)</w:t>
      </w:r>
    </w:p>
    <w:p w14:paraId="42E8CA56" w14:textId="77777777" w:rsidR="00D51E7C" w:rsidRPr="00065278" w:rsidRDefault="00D51E7C" w:rsidP="00576CFA">
      <w:pPr>
        <w:pStyle w:val="MText"/>
        <w:rPr>
          <w:lang w:val="es-MX"/>
        </w:rPr>
      </w:pPr>
    </w:p>
    <w:p w14:paraId="4D0520F7" w14:textId="2A164FDC" w:rsidR="00382CF3" w:rsidRPr="0063163D" w:rsidRDefault="00B31E2C" w:rsidP="000412A0">
      <w:pPr>
        <w:pStyle w:val="MHeader"/>
        <w:spacing w:after="100"/>
        <w:rPr>
          <w:lang w:val="es-MX"/>
        </w:rPr>
      </w:pPr>
      <w:r w:rsidRPr="0063163D">
        <w:rPr>
          <w:lang w:val="es-MX"/>
        </w:rPr>
        <w:t xml:space="preserve">6. </w:t>
      </w:r>
      <w:bookmarkStart w:id="58" w:name="_Hlk196759977"/>
      <w:r w:rsidRPr="0063163D">
        <w:rPr>
          <w:lang w:val="es-MX"/>
        </w:rPr>
        <w:t>Comparabili</w:t>
      </w:r>
      <w:r w:rsidR="0063163D" w:rsidRPr="0063163D">
        <w:rPr>
          <w:lang w:val="es-MX"/>
        </w:rPr>
        <w:t>dad</w:t>
      </w:r>
      <w:r w:rsidRPr="0063163D">
        <w:rPr>
          <w:lang w:val="es-MX"/>
        </w:rPr>
        <w:t xml:space="preserve"> / </w:t>
      </w:r>
      <w:r w:rsidR="0063163D" w:rsidRPr="0063163D">
        <w:rPr>
          <w:lang w:val="es-MX"/>
        </w:rPr>
        <w:t>desviación de estándares internacio</w:t>
      </w:r>
      <w:r w:rsidR="0063163D">
        <w:rPr>
          <w:lang w:val="es-MX"/>
        </w:rPr>
        <w:t>nales</w:t>
      </w:r>
      <w:r w:rsidRPr="0063163D">
        <w:rPr>
          <w:lang w:val="es-MX"/>
        </w:rPr>
        <w:t xml:space="preserve"> </w:t>
      </w:r>
      <w:bookmarkEnd w:id="58"/>
      <w:r w:rsidRPr="0063163D">
        <w:rPr>
          <w:color w:val="B4B4B4"/>
          <w:sz w:val="20"/>
          <w:lang w:val="es-MX"/>
        </w:rPr>
        <w:t>(COMPARABILITY)</w:t>
      </w:r>
    </w:p>
    <w:p w14:paraId="3595E072" w14:textId="4D069C0C" w:rsidR="00D51E7C" w:rsidRPr="00065278" w:rsidRDefault="00065278" w:rsidP="00576CFA">
      <w:pPr>
        <w:pStyle w:val="MText"/>
        <w:rPr>
          <w:b/>
          <w:bCs/>
          <w:lang w:val="es-MX"/>
        </w:rPr>
      </w:pPr>
      <w:bookmarkStart w:id="59" w:name="_Hlk196759984"/>
      <w:r w:rsidRPr="00065278">
        <w:rPr>
          <w:b/>
          <w:bCs/>
          <w:lang w:val="es-MX"/>
        </w:rPr>
        <w:lastRenderedPageBreak/>
        <w:t>Fuentes de discrepancias</w:t>
      </w:r>
      <w:r w:rsidR="00D51E7C" w:rsidRPr="00065278">
        <w:rPr>
          <w:b/>
          <w:bCs/>
          <w:lang w:val="es-MX"/>
        </w:rPr>
        <w:t>:</w:t>
      </w:r>
    </w:p>
    <w:bookmarkEnd w:id="59"/>
    <w:p w14:paraId="39C03AEA" w14:textId="77777777" w:rsidR="00065278" w:rsidRPr="00694773" w:rsidRDefault="00065278" w:rsidP="00694773">
      <w:pPr>
        <w:pStyle w:val="MText"/>
        <w:rPr>
          <w:lang w:val="es-MX"/>
        </w:rPr>
      </w:pPr>
      <w:r w:rsidRPr="00694773">
        <w:rPr>
          <w:lang w:val="es-MX"/>
        </w:rPr>
        <w:t xml:space="preserve">Pueden existir discrepancias entre los recuentos de reclusos sentenciados y no sentenciados elaborados por los países y los comunicados internacionalmente, ya que los datos nacionales pueden referirse a la definición nacional, mientras que los datos comunicados por la UNODC pretenden ajustarse a la definición facilitada en el cuestionario </w:t>
      </w:r>
      <w:proofErr w:type="spellStart"/>
      <w:r w:rsidRPr="00694773">
        <w:rPr>
          <w:lang w:val="es-MX"/>
        </w:rPr>
        <w:t>del</w:t>
      </w:r>
      <w:proofErr w:type="spellEnd"/>
      <w:r w:rsidRPr="00694773">
        <w:rPr>
          <w:lang w:val="es-MX"/>
        </w:rPr>
        <w:t xml:space="preserve"> UN-CTS.</w:t>
      </w:r>
    </w:p>
    <w:p w14:paraId="270E6DB6" w14:textId="1EA0E399" w:rsidR="00065278" w:rsidRPr="00694773" w:rsidRDefault="00065278" w:rsidP="00694773">
      <w:pPr>
        <w:pStyle w:val="MText"/>
        <w:rPr>
          <w:lang w:val="es-MX"/>
        </w:rPr>
      </w:pPr>
      <w:r w:rsidRPr="00694773">
        <w:rPr>
          <w:lang w:val="es-MX"/>
        </w:rPr>
        <w:t>Además, puede haber discrepancias entre las cifras comunicadas sobre el total de la población reclusa y los distintos desgloses (por ejemplo, el desglose por sexo), que a menudo sólo están disponibles para la población reclusa adulta. La recolección de datos sobre la población reclusa adulta y la población reclusa juvenil suele estar a cargo de autoridades distintas.</w:t>
      </w:r>
    </w:p>
    <w:p w14:paraId="5AB6DD91" w14:textId="77777777" w:rsidR="00F719A8" w:rsidRPr="00065278" w:rsidRDefault="00F719A8" w:rsidP="00576CFA">
      <w:pPr>
        <w:pStyle w:val="MText"/>
        <w:rPr>
          <w:lang w:val="es-MX"/>
        </w:rPr>
      </w:pPr>
    </w:p>
    <w:p w14:paraId="76DF099C" w14:textId="356DE284" w:rsidR="00382CF3" w:rsidRPr="0063163D" w:rsidRDefault="00576CFA" w:rsidP="000412A0">
      <w:pPr>
        <w:pStyle w:val="MHeader"/>
        <w:spacing w:after="100"/>
        <w:rPr>
          <w:lang w:val="es-MX"/>
        </w:rPr>
      </w:pPr>
      <w:r w:rsidRPr="0063163D">
        <w:rPr>
          <w:lang w:val="es-MX"/>
        </w:rPr>
        <w:t xml:space="preserve">7. </w:t>
      </w:r>
      <w:bookmarkStart w:id="60" w:name="_Hlk196759991"/>
      <w:r w:rsidRPr="0063163D">
        <w:rPr>
          <w:lang w:val="es-MX"/>
        </w:rPr>
        <w:t>Referenc</w:t>
      </w:r>
      <w:r w:rsidR="0063163D" w:rsidRPr="0063163D">
        <w:rPr>
          <w:lang w:val="es-MX"/>
        </w:rPr>
        <w:t>ias</w:t>
      </w:r>
      <w:r w:rsidRPr="0063163D">
        <w:rPr>
          <w:lang w:val="es-MX"/>
        </w:rPr>
        <w:t xml:space="preserve"> </w:t>
      </w:r>
      <w:r w:rsidR="0063163D" w:rsidRPr="0063163D">
        <w:rPr>
          <w:lang w:val="es-MX"/>
        </w:rPr>
        <w:t>y</w:t>
      </w:r>
      <w:r w:rsidRPr="0063163D">
        <w:rPr>
          <w:lang w:val="es-MX"/>
        </w:rPr>
        <w:t xml:space="preserve"> </w:t>
      </w:r>
      <w:r w:rsidR="0063163D" w:rsidRPr="0063163D">
        <w:rPr>
          <w:lang w:val="es-MX"/>
        </w:rPr>
        <w:t>d</w:t>
      </w:r>
      <w:r w:rsidRPr="0063163D">
        <w:rPr>
          <w:lang w:val="es-MX"/>
        </w:rPr>
        <w:t>ocumenta</w:t>
      </w:r>
      <w:r w:rsidR="0063163D" w:rsidRPr="0063163D">
        <w:rPr>
          <w:lang w:val="es-MX"/>
        </w:rPr>
        <w:t>c</w:t>
      </w:r>
      <w:r w:rsidRPr="0063163D">
        <w:rPr>
          <w:lang w:val="es-MX"/>
        </w:rPr>
        <w:t>i</w:t>
      </w:r>
      <w:r w:rsidR="0063163D" w:rsidRPr="0063163D">
        <w:rPr>
          <w:lang w:val="es-MX"/>
        </w:rPr>
        <w:t>ó</w:t>
      </w:r>
      <w:r w:rsidRPr="0063163D">
        <w:rPr>
          <w:lang w:val="es-MX"/>
        </w:rPr>
        <w:t xml:space="preserve">n </w:t>
      </w:r>
      <w:bookmarkEnd w:id="60"/>
      <w:r w:rsidRPr="0063163D">
        <w:rPr>
          <w:color w:val="B4B4B4"/>
          <w:sz w:val="20"/>
          <w:lang w:val="es-MX"/>
        </w:rPr>
        <w:t>(OTHER_DOC)</w:t>
      </w:r>
    </w:p>
    <w:p w14:paraId="4BDAF19F" w14:textId="77777777" w:rsidR="005B56DC" w:rsidRPr="00F36079" w:rsidRDefault="005B56DC" w:rsidP="005B56DC">
      <w:pPr>
        <w:shd w:val="clear" w:color="auto" w:fill="FFFFFF"/>
        <w:spacing w:after="0"/>
        <w:rPr>
          <w:rFonts w:eastAsia="Times New Roman" w:cs="Times New Roman"/>
          <w:color w:val="4A4A4A"/>
          <w:sz w:val="21"/>
          <w:szCs w:val="21"/>
          <w:lang w:val="es-MX" w:eastAsia="en-GB"/>
        </w:rPr>
      </w:pPr>
      <w:r w:rsidRPr="00F36079">
        <w:rPr>
          <w:rFonts w:eastAsia="Times New Roman" w:cs="Times New Roman"/>
          <w:b/>
          <w:bCs/>
          <w:color w:val="4A4A4A"/>
          <w:sz w:val="21"/>
          <w:szCs w:val="21"/>
          <w:lang w:val="es-MX" w:eastAsia="en-GB"/>
        </w:rPr>
        <w:t>URL:</w:t>
      </w:r>
    </w:p>
    <w:p w14:paraId="69274C91" w14:textId="6AB80EEE" w:rsidR="005B56DC" w:rsidRPr="00F36079" w:rsidRDefault="00677A80" w:rsidP="005B56DC">
      <w:pPr>
        <w:shd w:val="clear" w:color="auto" w:fill="FFFFFF"/>
        <w:spacing w:after="0"/>
        <w:rPr>
          <w:rFonts w:eastAsia="Times New Roman" w:cs="Times New Roman"/>
          <w:color w:val="4A4A4A"/>
          <w:sz w:val="21"/>
          <w:szCs w:val="21"/>
          <w:lang w:val="es-MX" w:eastAsia="en-GB"/>
        </w:rPr>
      </w:pPr>
      <w:hyperlink r:id="rId20" w:history="1">
        <w:r w:rsidRPr="00F36079">
          <w:rPr>
            <w:rStyle w:val="Hipervnculo"/>
            <w:rFonts w:eastAsia="Times New Roman" w:cs="Times New Roman"/>
            <w:sz w:val="21"/>
            <w:szCs w:val="21"/>
            <w:lang w:val="es-MX" w:eastAsia="en-GB"/>
          </w:rPr>
          <w:t>www.unodc.org</w:t>
        </w:r>
      </w:hyperlink>
      <w:r w:rsidRPr="00F36079">
        <w:rPr>
          <w:rFonts w:eastAsia="Times New Roman" w:cs="Times New Roman"/>
          <w:color w:val="4A4A4A"/>
          <w:sz w:val="21"/>
          <w:szCs w:val="21"/>
          <w:lang w:val="es-MX" w:eastAsia="en-GB"/>
        </w:rPr>
        <w:t xml:space="preserve"> </w:t>
      </w:r>
    </w:p>
    <w:p w14:paraId="23B13F81" w14:textId="77777777" w:rsidR="005B56DC" w:rsidRPr="00F36079" w:rsidRDefault="005B56DC" w:rsidP="005B56DC">
      <w:pPr>
        <w:shd w:val="clear" w:color="auto" w:fill="FFFFFF"/>
        <w:spacing w:after="0"/>
        <w:rPr>
          <w:rFonts w:eastAsia="Times New Roman" w:cs="Times New Roman"/>
          <w:color w:val="4A4A4A"/>
          <w:sz w:val="21"/>
          <w:szCs w:val="21"/>
          <w:lang w:val="es-MX" w:eastAsia="en-GB"/>
        </w:rPr>
      </w:pPr>
    </w:p>
    <w:p w14:paraId="61DDEFC2" w14:textId="70411F81" w:rsidR="005B56DC" w:rsidRPr="00F36079" w:rsidRDefault="005B56DC" w:rsidP="005B56DC">
      <w:pPr>
        <w:shd w:val="clear" w:color="auto" w:fill="FFFFFF"/>
        <w:spacing w:after="0"/>
        <w:rPr>
          <w:rFonts w:eastAsia="Times New Roman" w:cs="Times New Roman"/>
          <w:color w:val="4A4A4A"/>
          <w:sz w:val="21"/>
          <w:szCs w:val="21"/>
          <w:lang w:val="es-MX" w:eastAsia="en-GB"/>
        </w:rPr>
      </w:pPr>
      <w:bookmarkStart w:id="61" w:name="_Hlk196759997"/>
      <w:r w:rsidRPr="00F36079">
        <w:rPr>
          <w:rFonts w:eastAsia="Times New Roman" w:cs="Times New Roman"/>
          <w:b/>
          <w:bCs/>
          <w:color w:val="4A4A4A"/>
          <w:sz w:val="21"/>
          <w:szCs w:val="21"/>
          <w:lang w:val="es-MX" w:eastAsia="en-GB"/>
        </w:rPr>
        <w:t>Referenc</w:t>
      </w:r>
      <w:r w:rsidR="00065278" w:rsidRPr="00F36079">
        <w:rPr>
          <w:rFonts w:eastAsia="Times New Roman" w:cs="Times New Roman"/>
          <w:b/>
          <w:bCs/>
          <w:color w:val="4A4A4A"/>
          <w:sz w:val="21"/>
          <w:szCs w:val="21"/>
          <w:lang w:val="es-MX" w:eastAsia="en-GB"/>
        </w:rPr>
        <w:t>ia</w:t>
      </w:r>
      <w:r w:rsidRPr="00F36079">
        <w:rPr>
          <w:rFonts w:eastAsia="Times New Roman" w:cs="Times New Roman"/>
          <w:b/>
          <w:bCs/>
          <w:color w:val="4A4A4A"/>
          <w:sz w:val="21"/>
          <w:szCs w:val="21"/>
          <w:lang w:val="es-MX" w:eastAsia="en-GB"/>
        </w:rPr>
        <w:t>s:</w:t>
      </w:r>
    </w:p>
    <w:bookmarkEnd w:id="61"/>
    <w:p w14:paraId="02267BC3" w14:textId="3D46A912" w:rsidR="00065278" w:rsidRPr="00065278" w:rsidRDefault="00065278" w:rsidP="009104B8">
      <w:pPr>
        <w:shd w:val="clear" w:color="auto" w:fill="FFFFFF"/>
        <w:spacing w:after="0"/>
        <w:rPr>
          <w:rFonts w:eastAsia="Times New Roman" w:cs="Times New Roman"/>
          <w:color w:val="4A4A4A"/>
          <w:sz w:val="21"/>
          <w:szCs w:val="21"/>
          <w:lang w:val="es-MX" w:eastAsia="en-GB"/>
        </w:rPr>
      </w:pPr>
      <w:r w:rsidRPr="00065278">
        <w:rPr>
          <w:rFonts w:eastAsia="Times New Roman" w:cs="Times New Roman"/>
          <w:color w:val="4A4A4A"/>
          <w:sz w:val="21"/>
          <w:szCs w:val="21"/>
          <w:lang w:val="es-MX" w:eastAsia="en-GB"/>
        </w:rPr>
        <w:t xml:space="preserve">Las definiciones y otros metadatos figuran en </w:t>
      </w:r>
      <w:r>
        <w:rPr>
          <w:rFonts w:eastAsia="Times New Roman" w:cs="Times New Roman"/>
          <w:color w:val="4A4A4A"/>
          <w:sz w:val="21"/>
          <w:szCs w:val="21"/>
          <w:lang w:val="es-MX" w:eastAsia="en-GB"/>
        </w:rPr>
        <w:t>la</w:t>
      </w:r>
      <w:r w:rsidRPr="00065278">
        <w:rPr>
          <w:rFonts w:eastAsia="Times New Roman" w:cs="Times New Roman"/>
          <w:color w:val="4A4A4A"/>
          <w:sz w:val="21"/>
          <w:szCs w:val="21"/>
          <w:lang w:val="es-MX" w:eastAsia="en-GB"/>
        </w:rPr>
        <w:t xml:space="preserve"> </w:t>
      </w:r>
      <w:hyperlink r:id="rId21" w:history="1">
        <w:r w:rsidRPr="00065278">
          <w:rPr>
            <w:rStyle w:val="Hipervnculo"/>
            <w:rFonts w:eastAsia="Times New Roman" w:cs="Times New Roman"/>
            <w:sz w:val="21"/>
            <w:szCs w:val="21"/>
            <w:lang w:val="es-MX" w:eastAsia="en-GB"/>
          </w:rPr>
          <w:t>Encuesta de las Naciones Unidas sobre tendencias delictivas y funcionamiento de los sistemas de justicia penal</w:t>
        </w:r>
      </w:hyperlink>
      <w:r w:rsidRPr="00065278">
        <w:rPr>
          <w:rFonts w:eastAsia="Times New Roman" w:cs="Times New Roman"/>
          <w:color w:val="4A4A4A"/>
          <w:sz w:val="21"/>
          <w:szCs w:val="21"/>
          <w:lang w:val="es-MX" w:eastAsia="en-GB"/>
        </w:rPr>
        <w:t xml:space="preserve"> (UN-CTS), en la </w:t>
      </w:r>
      <w:hyperlink r:id="rId22" w:history="1">
        <w:r w:rsidRPr="00065278">
          <w:rPr>
            <w:rStyle w:val="Hipervnculo"/>
            <w:rFonts w:eastAsia="Times New Roman" w:cs="Times New Roman"/>
            <w:sz w:val="21"/>
            <w:szCs w:val="21"/>
            <w:lang w:val="es-MX" w:eastAsia="en-GB"/>
          </w:rPr>
          <w:t>Clasificación Internacional de Delitos con Fines Estadísticos</w:t>
        </w:r>
      </w:hyperlink>
      <w:r w:rsidRPr="00065278">
        <w:rPr>
          <w:rFonts w:eastAsia="Times New Roman" w:cs="Times New Roman"/>
          <w:color w:val="4A4A4A"/>
          <w:sz w:val="21"/>
          <w:szCs w:val="21"/>
          <w:lang w:val="es-MX" w:eastAsia="en-GB"/>
        </w:rPr>
        <w:t xml:space="preserve"> (ICCS), en el Manual de las Naciones Unidas para el desarrollo de un sistema de estadísticas de justicia penal (ST/ESA/STAT/SER.F/89), así como (para los niños), en el </w:t>
      </w:r>
      <w:r w:rsidRPr="007A4537">
        <w:rPr>
          <w:rStyle w:val="Hipervnculo"/>
          <w:sz w:val="21"/>
          <w:szCs w:val="21"/>
          <w:lang w:val="es-MX" w:eastAsia="en-GB"/>
        </w:rPr>
        <w:t>Manual UNODC/UNICEF</w:t>
      </w:r>
      <w:r w:rsidRPr="007A4537">
        <w:rPr>
          <w:rStyle w:val="Hipervnculo"/>
          <w:lang w:val="es-MX" w:eastAsia="en-GB"/>
        </w:rPr>
        <w:t xml:space="preserve"> </w:t>
      </w:r>
      <w:r w:rsidRPr="00065278">
        <w:rPr>
          <w:rFonts w:eastAsia="Times New Roman" w:cs="Times New Roman"/>
          <w:color w:val="4A4A4A"/>
          <w:sz w:val="21"/>
          <w:szCs w:val="21"/>
          <w:lang w:val="es-MX" w:eastAsia="en-GB"/>
        </w:rPr>
        <w:t>para la medición de indicadores de justicia de menores.</w:t>
      </w:r>
    </w:p>
    <w:sectPr w:rsidR="00065278" w:rsidRPr="00065278">
      <w:headerReference w:type="default" r:id="rId23"/>
      <w:footerReference w:type="default" r:id="rId2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74143" w14:textId="77777777" w:rsidR="009521B7" w:rsidRDefault="009521B7" w:rsidP="00573C0B">
      <w:pPr>
        <w:spacing w:after="0" w:line="240" w:lineRule="auto"/>
      </w:pPr>
      <w:r>
        <w:separator/>
      </w:r>
    </w:p>
  </w:endnote>
  <w:endnote w:type="continuationSeparator" w:id="0">
    <w:p w14:paraId="53419370" w14:textId="77777777" w:rsidR="009521B7" w:rsidRDefault="009521B7" w:rsidP="00573C0B">
      <w:pPr>
        <w:spacing w:after="0" w:line="240" w:lineRule="auto"/>
      </w:pPr>
      <w:r>
        <w:continuationSeparator/>
      </w:r>
    </w:p>
  </w:endnote>
  <w:endnote w:type="continuationNotice" w:id="1">
    <w:p w14:paraId="52922A96" w14:textId="77777777" w:rsidR="009521B7" w:rsidRDefault="009521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0EEAB7A" w14:paraId="3B81415A" w14:textId="77777777" w:rsidTr="50EEAB7A">
      <w:tc>
        <w:tcPr>
          <w:tcW w:w="3005" w:type="dxa"/>
        </w:tcPr>
        <w:p w14:paraId="58C9E0E0" w14:textId="7E3F093A" w:rsidR="50EEAB7A" w:rsidRDefault="50EEAB7A" w:rsidP="50EEAB7A">
          <w:pPr>
            <w:pStyle w:val="Encabezado"/>
            <w:ind w:left="-115"/>
          </w:pPr>
        </w:p>
      </w:tc>
      <w:tc>
        <w:tcPr>
          <w:tcW w:w="3005" w:type="dxa"/>
        </w:tcPr>
        <w:p w14:paraId="41D819F0" w14:textId="30037B6D" w:rsidR="50EEAB7A" w:rsidRDefault="50EEAB7A" w:rsidP="50EEAB7A">
          <w:pPr>
            <w:pStyle w:val="Encabezado"/>
            <w:jc w:val="center"/>
          </w:pPr>
        </w:p>
      </w:tc>
      <w:tc>
        <w:tcPr>
          <w:tcW w:w="3005" w:type="dxa"/>
        </w:tcPr>
        <w:p w14:paraId="00677243" w14:textId="655B7EE8" w:rsidR="50EEAB7A" w:rsidRDefault="50EEAB7A" w:rsidP="50EEAB7A">
          <w:pPr>
            <w:pStyle w:val="Encabezado"/>
            <w:ind w:right="-115"/>
            <w:jc w:val="right"/>
          </w:pPr>
        </w:p>
      </w:tc>
    </w:tr>
  </w:tbl>
  <w:p w14:paraId="65E5F8F8" w14:textId="238A397A" w:rsidR="50EEAB7A" w:rsidRDefault="50EEAB7A" w:rsidP="50EEAB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CA3D0" w14:textId="77777777" w:rsidR="009521B7" w:rsidRDefault="009521B7" w:rsidP="00573C0B">
      <w:pPr>
        <w:spacing w:after="0" w:line="240" w:lineRule="auto"/>
      </w:pPr>
      <w:r>
        <w:separator/>
      </w:r>
    </w:p>
  </w:footnote>
  <w:footnote w:type="continuationSeparator" w:id="0">
    <w:p w14:paraId="7C70D921" w14:textId="77777777" w:rsidR="009521B7" w:rsidRDefault="009521B7" w:rsidP="00573C0B">
      <w:pPr>
        <w:spacing w:after="0" w:line="240" w:lineRule="auto"/>
      </w:pPr>
      <w:r>
        <w:continuationSeparator/>
      </w:r>
    </w:p>
  </w:footnote>
  <w:footnote w:type="continuationNotice" w:id="1">
    <w:p w14:paraId="0734AA77" w14:textId="77777777" w:rsidR="009521B7" w:rsidRDefault="009521B7">
      <w:pPr>
        <w:spacing w:after="0" w:line="240" w:lineRule="auto"/>
      </w:pPr>
    </w:p>
  </w:footnote>
  <w:footnote w:id="2">
    <w:p w14:paraId="592C4201" w14:textId="17A13CD3" w:rsidR="009B7554" w:rsidRPr="00D238E2" w:rsidRDefault="009B7554" w:rsidP="009B7554">
      <w:pPr>
        <w:pStyle w:val="Textonotapie"/>
        <w:rPr>
          <w:color w:val="4A4A4A"/>
          <w:sz w:val="18"/>
          <w:szCs w:val="18"/>
          <w:lang w:val="es-MX"/>
        </w:rPr>
      </w:pPr>
      <w:r w:rsidRPr="004D3897">
        <w:rPr>
          <w:rStyle w:val="Refdenotaalpie"/>
          <w:color w:val="4A4A4A"/>
          <w:sz w:val="18"/>
          <w:szCs w:val="18"/>
        </w:rPr>
        <w:footnoteRef/>
      </w:r>
      <w:r w:rsidRPr="00D238E2">
        <w:rPr>
          <w:color w:val="4A4A4A"/>
          <w:sz w:val="18"/>
          <w:szCs w:val="18"/>
          <w:lang w:val="es-MX"/>
        </w:rPr>
        <w:t xml:space="preserve"> </w:t>
      </w:r>
      <w:r w:rsidR="00D238E2" w:rsidRPr="00D238E2">
        <w:rPr>
          <w:color w:val="4A4A4A"/>
          <w:sz w:val="18"/>
          <w:szCs w:val="18"/>
          <w:lang w:val="es-MX"/>
        </w:rPr>
        <w:t>Las imputaciones para las series desglosadas (por ejemplo, personas detenidas de sexo femenino o detenidos sin sentencia) siguen el mismo enfoque que el de las personas detenidas totales, salvo que las imputaciones se realizan sobre la proporción del desglose respecto al número total de personas detenidas, en lugar de la tasa por cada 100.000 habitantes.</w:t>
      </w:r>
    </w:p>
  </w:footnote>
  <w:footnote w:id="3">
    <w:p w14:paraId="3586A29F" w14:textId="2D24B594" w:rsidR="00A65EFB" w:rsidRPr="00D238E2" w:rsidRDefault="00A65EFB" w:rsidP="00A65EFB">
      <w:pPr>
        <w:pStyle w:val="Textonotapie"/>
        <w:rPr>
          <w:lang w:val="es-MX"/>
        </w:rPr>
      </w:pPr>
      <w:r w:rsidRPr="004D3897">
        <w:rPr>
          <w:rStyle w:val="Refdenotaalpie"/>
          <w:color w:val="4A4A4A"/>
          <w:sz w:val="18"/>
          <w:szCs w:val="18"/>
        </w:rPr>
        <w:footnoteRef/>
      </w:r>
      <w:r w:rsidRPr="00D238E2">
        <w:rPr>
          <w:color w:val="4A4A4A"/>
          <w:sz w:val="18"/>
          <w:szCs w:val="18"/>
          <w:lang w:val="es-MX"/>
        </w:rPr>
        <w:t xml:space="preserve"> </w:t>
      </w:r>
      <w:r w:rsidR="00D238E2" w:rsidRPr="00D238E2">
        <w:rPr>
          <w:color w:val="4A4A4A"/>
          <w:sz w:val="18"/>
          <w:szCs w:val="18"/>
          <w:lang w:val="es-MX"/>
        </w:rPr>
        <w:t>Para los países sin ningún dato desde el año 2000, se aplica la tasa regional.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D5D76" w14:textId="49FF3F3C" w:rsidR="00077F46" w:rsidRPr="00757E8A" w:rsidRDefault="004A2E21" w:rsidP="00077F46">
    <w:pPr>
      <w:pStyle w:val="Encabezado"/>
      <w:jc w:val="right"/>
      <w:rPr>
        <w:color w:val="404040" w:themeColor="text1" w:themeTint="BF"/>
        <w:sz w:val="18"/>
        <w:szCs w:val="18"/>
      </w:rPr>
    </w:pPr>
    <w:bookmarkStart w:id="62" w:name="_Hlk506197003"/>
    <w:bookmarkStart w:id="63" w:name="_Hlk506197004"/>
    <w:bookmarkStart w:id="64" w:name="_Hlk506197005"/>
    <w:bookmarkStart w:id="65" w:name="_Hlk516233502"/>
    <w:bookmarkStart w:id="66" w:name="_Hlk516233503"/>
    <w:bookmarkStart w:id="67" w:name="_Hlk516233504"/>
    <w:proofErr w:type="spellStart"/>
    <w:r>
      <w:rPr>
        <w:color w:val="404040" w:themeColor="text1" w:themeTint="BF"/>
        <w:sz w:val="18"/>
        <w:szCs w:val="18"/>
      </w:rPr>
      <w:t>Última</w:t>
    </w:r>
    <w:proofErr w:type="spellEnd"/>
    <w:r>
      <w:rPr>
        <w:color w:val="404040" w:themeColor="text1" w:themeTint="BF"/>
        <w:sz w:val="18"/>
        <w:szCs w:val="18"/>
      </w:rPr>
      <w:t xml:space="preserve"> </w:t>
    </w:r>
    <w:proofErr w:type="spellStart"/>
    <w:r>
      <w:rPr>
        <w:color w:val="404040" w:themeColor="text1" w:themeTint="BF"/>
        <w:sz w:val="18"/>
        <w:szCs w:val="18"/>
      </w:rPr>
      <w:t>actualización</w:t>
    </w:r>
    <w:proofErr w:type="spellEnd"/>
    <w:r w:rsidR="50EEAB7A" w:rsidRPr="50EEAB7A">
      <w:rPr>
        <w:color w:val="404040" w:themeColor="text1" w:themeTint="BF"/>
        <w:sz w:val="18"/>
        <w:szCs w:val="18"/>
      </w:rPr>
      <w:t>:</w:t>
    </w:r>
    <w:bookmarkEnd w:id="62"/>
    <w:bookmarkEnd w:id="63"/>
    <w:bookmarkEnd w:id="64"/>
    <w:bookmarkEnd w:id="65"/>
    <w:bookmarkEnd w:id="66"/>
    <w:bookmarkEnd w:id="67"/>
    <w:r w:rsidR="50EEAB7A" w:rsidRPr="50EEAB7A">
      <w:rPr>
        <w:color w:val="404040" w:themeColor="text1" w:themeTint="BF"/>
        <w:sz w:val="18"/>
        <w:szCs w:val="18"/>
      </w:rPr>
      <w:t xml:space="preserve"> </w:t>
    </w:r>
    <w:r w:rsidR="006041FC">
      <w:rPr>
        <w:color w:val="404040" w:themeColor="text1" w:themeTint="BF"/>
        <w:sz w:val="18"/>
        <w:szCs w:val="18"/>
      </w:rPr>
      <w:t>2024-01-31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0417354">
    <w:abstractNumId w:val="2"/>
  </w:num>
  <w:num w:numId="2" w16cid:durableId="2125880914">
    <w:abstractNumId w:val="0"/>
  </w:num>
  <w:num w:numId="3" w16cid:durableId="1621306186">
    <w:abstractNumId w:val="3"/>
  </w:num>
  <w:num w:numId="4" w16cid:durableId="1178151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6DAB"/>
    <w:rsid w:val="000070BA"/>
    <w:rsid w:val="00012EA4"/>
    <w:rsid w:val="0001692F"/>
    <w:rsid w:val="000173F9"/>
    <w:rsid w:val="00020292"/>
    <w:rsid w:val="000412A0"/>
    <w:rsid w:val="00045993"/>
    <w:rsid w:val="00047DDA"/>
    <w:rsid w:val="0005455A"/>
    <w:rsid w:val="000643D1"/>
    <w:rsid w:val="00065278"/>
    <w:rsid w:val="00071F07"/>
    <w:rsid w:val="00075FC6"/>
    <w:rsid w:val="0007759D"/>
    <w:rsid w:val="000777AB"/>
    <w:rsid w:val="00077F46"/>
    <w:rsid w:val="00082DC5"/>
    <w:rsid w:val="00090FB1"/>
    <w:rsid w:val="00095799"/>
    <w:rsid w:val="00096186"/>
    <w:rsid w:val="000A72E4"/>
    <w:rsid w:val="000B0E2F"/>
    <w:rsid w:val="000B2430"/>
    <w:rsid w:val="000B4A8C"/>
    <w:rsid w:val="000C0B02"/>
    <w:rsid w:val="000C548E"/>
    <w:rsid w:val="000D0B30"/>
    <w:rsid w:val="000D6061"/>
    <w:rsid w:val="000E21F1"/>
    <w:rsid w:val="000F0237"/>
    <w:rsid w:val="000F703E"/>
    <w:rsid w:val="0010103E"/>
    <w:rsid w:val="00111102"/>
    <w:rsid w:val="00112F81"/>
    <w:rsid w:val="001205B0"/>
    <w:rsid w:val="00120E86"/>
    <w:rsid w:val="00125DE9"/>
    <w:rsid w:val="00127128"/>
    <w:rsid w:val="0013082E"/>
    <w:rsid w:val="00131153"/>
    <w:rsid w:val="001332E0"/>
    <w:rsid w:val="00134DE7"/>
    <w:rsid w:val="0014214C"/>
    <w:rsid w:val="0014532D"/>
    <w:rsid w:val="00146A59"/>
    <w:rsid w:val="00147A77"/>
    <w:rsid w:val="00162E30"/>
    <w:rsid w:val="00185354"/>
    <w:rsid w:val="001854DC"/>
    <w:rsid w:val="00186795"/>
    <w:rsid w:val="00187706"/>
    <w:rsid w:val="00194D09"/>
    <w:rsid w:val="001A7D5C"/>
    <w:rsid w:val="001B46BB"/>
    <w:rsid w:val="001B60AA"/>
    <w:rsid w:val="001B63C8"/>
    <w:rsid w:val="001C1972"/>
    <w:rsid w:val="001C2810"/>
    <w:rsid w:val="001C421F"/>
    <w:rsid w:val="001D360D"/>
    <w:rsid w:val="001E5EDF"/>
    <w:rsid w:val="001F1B9C"/>
    <w:rsid w:val="001F2552"/>
    <w:rsid w:val="0021382D"/>
    <w:rsid w:val="00220793"/>
    <w:rsid w:val="00246534"/>
    <w:rsid w:val="002516C4"/>
    <w:rsid w:val="00251BC6"/>
    <w:rsid w:val="00261A8D"/>
    <w:rsid w:val="00283C1C"/>
    <w:rsid w:val="00291A00"/>
    <w:rsid w:val="00291A11"/>
    <w:rsid w:val="002A315C"/>
    <w:rsid w:val="002A3342"/>
    <w:rsid w:val="002A64BA"/>
    <w:rsid w:val="002B4989"/>
    <w:rsid w:val="002C2510"/>
    <w:rsid w:val="002C5A2E"/>
    <w:rsid w:val="002D714E"/>
    <w:rsid w:val="002E10C2"/>
    <w:rsid w:val="002E1EC9"/>
    <w:rsid w:val="002E53C3"/>
    <w:rsid w:val="002F07E4"/>
    <w:rsid w:val="002F1468"/>
    <w:rsid w:val="002F57AB"/>
    <w:rsid w:val="002F5F0C"/>
    <w:rsid w:val="002F72DB"/>
    <w:rsid w:val="0030335F"/>
    <w:rsid w:val="00305F96"/>
    <w:rsid w:val="0031038C"/>
    <w:rsid w:val="0031057A"/>
    <w:rsid w:val="003265EB"/>
    <w:rsid w:val="003360F6"/>
    <w:rsid w:val="0034329E"/>
    <w:rsid w:val="00343FAA"/>
    <w:rsid w:val="00344181"/>
    <w:rsid w:val="00347F5E"/>
    <w:rsid w:val="00353C98"/>
    <w:rsid w:val="00371A20"/>
    <w:rsid w:val="00377314"/>
    <w:rsid w:val="003821B4"/>
    <w:rsid w:val="00382CF3"/>
    <w:rsid w:val="0038435D"/>
    <w:rsid w:val="00387D52"/>
    <w:rsid w:val="003A7CEA"/>
    <w:rsid w:val="003C5A35"/>
    <w:rsid w:val="003D6325"/>
    <w:rsid w:val="003F0BD3"/>
    <w:rsid w:val="003F1257"/>
    <w:rsid w:val="003F278A"/>
    <w:rsid w:val="003F65E0"/>
    <w:rsid w:val="003F7611"/>
    <w:rsid w:val="003F7A02"/>
    <w:rsid w:val="00404880"/>
    <w:rsid w:val="0041243D"/>
    <w:rsid w:val="00422EA5"/>
    <w:rsid w:val="00422EFA"/>
    <w:rsid w:val="00425670"/>
    <w:rsid w:val="0042791F"/>
    <w:rsid w:val="00443287"/>
    <w:rsid w:val="004456ED"/>
    <w:rsid w:val="00470E6E"/>
    <w:rsid w:val="00476E6C"/>
    <w:rsid w:val="0048045A"/>
    <w:rsid w:val="0048276D"/>
    <w:rsid w:val="00483174"/>
    <w:rsid w:val="004841B8"/>
    <w:rsid w:val="00485ED4"/>
    <w:rsid w:val="0048644A"/>
    <w:rsid w:val="004930F2"/>
    <w:rsid w:val="0049369C"/>
    <w:rsid w:val="004A2E21"/>
    <w:rsid w:val="004A6123"/>
    <w:rsid w:val="004B0F1C"/>
    <w:rsid w:val="004B20BE"/>
    <w:rsid w:val="004B2FF1"/>
    <w:rsid w:val="004B3C17"/>
    <w:rsid w:val="004B4FC1"/>
    <w:rsid w:val="004B6F36"/>
    <w:rsid w:val="004D2EA6"/>
    <w:rsid w:val="004D3897"/>
    <w:rsid w:val="004D66D4"/>
    <w:rsid w:val="004E4A6D"/>
    <w:rsid w:val="004F2EE6"/>
    <w:rsid w:val="00502DBA"/>
    <w:rsid w:val="005040C4"/>
    <w:rsid w:val="00507637"/>
    <w:rsid w:val="00507852"/>
    <w:rsid w:val="00514DBF"/>
    <w:rsid w:val="00520B6B"/>
    <w:rsid w:val="0053041F"/>
    <w:rsid w:val="00532BC1"/>
    <w:rsid w:val="005459B7"/>
    <w:rsid w:val="00550921"/>
    <w:rsid w:val="00563712"/>
    <w:rsid w:val="00573631"/>
    <w:rsid w:val="00573645"/>
    <w:rsid w:val="00573C0B"/>
    <w:rsid w:val="00576CFA"/>
    <w:rsid w:val="0058556D"/>
    <w:rsid w:val="00592AF2"/>
    <w:rsid w:val="005947AD"/>
    <w:rsid w:val="00595780"/>
    <w:rsid w:val="00597748"/>
    <w:rsid w:val="005979E8"/>
    <w:rsid w:val="005B56DC"/>
    <w:rsid w:val="005D0AF4"/>
    <w:rsid w:val="005E54BD"/>
    <w:rsid w:val="005E7C96"/>
    <w:rsid w:val="005F3041"/>
    <w:rsid w:val="005F6CCA"/>
    <w:rsid w:val="006041FC"/>
    <w:rsid w:val="00604680"/>
    <w:rsid w:val="006104AF"/>
    <w:rsid w:val="00621893"/>
    <w:rsid w:val="0063163D"/>
    <w:rsid w:val="006351E1"/>
    <w:rsid w:val="006360F4"/>
    <w:rsid w:val="00641A06"/>
    <w:rsid w:val="006447B1"/>
    <w:rsid w:val="00662775"/>
    <w:rsid w:val="00674708"/>
    <w:rsid w:val="00677A80"/>
    <w:rsid w:val="00681955"/>
    <w:rsid w:val="006852FC"/>
    <w:rsid w:val="00690BAD"/>
    <w:rsid w:val="00694773"/>
    <w:rsid w:val="006969EF"/>
    <w:rsid w:val="006B40AB"/>
    <w:rsid w:val="006B5DC5"/>
    <w:rsid w:val="006C2375"/>
    <w:rsid w:val="006C4A27"/>
    <w:rsid w:val="006C4BFD"/>
    <w:rsid w:val="006C7D30"/>
    <w:rsid w:val="006E3C08"/>
    <w:rsid w:val="006E6CE3"/>
    <w:rsid w:val="00700ACF"/>
    <w:rsid w:val="00712487"/>
    <w:rsid w:val="007217A4"/>
    <w:rsid w:val="007530CA"/>
    <w:rsid w:val="00756D68"/>
    <w:rsid w:val="007578D9"/>
    <w:rsid w:val="00757E8A"/>
    <w:rsid w:val="007611DB"/>
    <w:rsid w:val="007620F5"/>
    <w:rsid w:val="00763E43"/>
    <w:rsid w:val="00763F7F"/>
    <w:rsid w:val="00764EB5"/>
    <w:rsid w:val="00777999"/>
    <w:rsid w:val="00777A95"/>
    <w:rsid w:val="00782416"/>
    <w:rsid w:val="007939D5"/>
    <w:rsid w:val="007A4537"/>
    <w:rsid w:val="007B0364"/>
    <w:rsid w:val="007B3D31"/>
    <w:rsid w:val="007D0981"/>
    <w:rsid w:val="007D1929"/>
    <w:rsid w:val="007E4F29"/>
    <w:rsid w:val="007E5C83"/>
    <w:rsid w:val="00803CF1"/>
    <w:rsid w:val="008104BB"/>
    <w:rsid w:val="008137DB"/>
    <w:rsid w:val="008249C5"/>
    <w:rsid w:val="008526F9"/>
    <w:rsid w:val="0085285E"/>
    <w:rsid w:val="00853023"/>
    <w:rsid w:val="008534D4"/>
    <w:rsid w:val="00864DDE"/>
    <w:rsid w:val="00866CC5"/>
    <w:rsid w:val="00871746"/>
    <w:rsid w:val="00881838"/>
    <w:rsid w:val="00881E28"/>
    <w:rsid w:val="008832A1"/>
    <w:rsid w:val="00894C4B"/>
    <w:rsid w:val="008A12E3"/>
    <w:rsid w:val="008A42FA"/>
    <w:rsid w:val="008B0AC7"/>
    <w:rsid w:val="008B6DE1"/>
    <w:rsid w:val="008C2335"/>
    <w:rsid w:val="008C288B"/>
    <w:rsid w:val="008C67C1"/>
    <w:rsid w:val="008D1D39"/>
    <w:rsid w:val="008E1320"/>
    <w:rsid w:val="008E5A7D"/>
    <w:rsid w:val="008F07D2"/>
    <w:rsid w:val="008F1AED"/>
    <w:rsid w:val="00904E3C"/>
    <w:rsid w:val="009104B8"/>
    <w:rsid w:val="00915C27"/>
    <w:rsid w:val="00917851"/>
    <w:rsid w:val="00917F65"/>
    <w:rsid w:val="00923444"/>
    <w:rsid w:val="009311E7"/>
    <w:rsid w:val="00942694"/>
    <w:rsid w:val="009445D9"/>
    <w:rsid w:val="009521B7"/>
    <w:rsid w:val="00965533"/>
    <w:rsid w:val="00965A07"/>
    <w:rsid w:val="00972AF0"/>
    <w:rsid w:val="00982677"/>
    <w:rsid w:val="00985FAD"/>
    <w:rsid w:val="009A2869"/>
    <w:rsid w:val="009A7E3A"/>
    <w:rsid w:val="009B1265"/>
    <w:rsid w:val="009B1637"/>
    <w:rsid w:val="009B22F3"/>
    <w:rsid w:val="009B4A15"/>
    <w:rsid w:val="009B5693"/>
    <w:rsid w:val="009B7554"/>
    <w:rsid w:val="009C4480"/>
    <w:rsid w:val="009C53DC"/>
    <w:rsid w:val="009C61A2"/>
    <w:rsid w:val="009C78E4"/>
    <w:rsid w:val="009D687E"/>
    <w:rsid w:val="009D6A80"/>
    <w:rsid w:val="009E58FD"/>
    <w:rsid w:val="009F2915"/>
    <w:rsid w:val="009F5429"/>
    <w:rsid w:val="009F6DE7"/>
    <w:rsid w:val="009F70AD"/>
    <w:rsid w:val="00A02778"/>
    <w:rsid w:val="00A07B75"/>
    <w:rsid w:val="00A10583"/>
    <w:rsid w:val="00A20611"/>
    <w:rsid w:val="00A25AA3"/>
    <w:rsid w:val="00A30805"/>
    <w:rsid w:val="00A37FCB"/>
    <w:rsid w:val="00A4360E"/>
    <w:rsid w:val="00A54863"/>
    <w:rsid w:val="00A61D74"/>
    <w:rsid w:val="00A65EFB"/>
    <w:rsid w:val="00A72046"/>
    <w:rsid w:val="00A8688B"/>
    <w:rsid w:val="00A91163"/>
    <w:rsid w:val="00A9286F"/>
    <w:rsid w:val="00A96255"/>
    <w:rsid w:val="00AA6C18"/>
    <w:rsid w:val="00AB285B"/>
    <w:rsid w:val="00AD1A2D"/>
    <w:rsid w:val="00AE0E12"/>
    <w:rsid w:val="00AF5552"/>
    <w:rsid w:val="00AF5CB4"/>
    <w:rsid w:val="00AF5ED1"/>
    <w:rsid w:val="00AF71D6"/>
    <w:rsid w:val="00B01626"/>
    <w:rsid w:val="00B03916"/>
    <w:rsid w:val="00B216EE"/>
    <w:rsid w:val="00B3115D"/>
    <w:rsid w:val="00B3175F"/>
    <w:rsid w:val="00B31E2C"/>
    <w:rsid w:val="00B329B0"/>
    <w:rsid w:val="00B402D8"/>
    <w:rsid w:val="00B4237C"/>
    <w:rsid w:val="00B42FE8"/>
    <w:rsid w:val="00B4685A"/>
    <w:rsid w:val="00B503E7"/>
    <w:rsid w:val="00B52AFD"/>
    <w:rsid w:val="00B54031"/>
    <w:rsid w:val="00B54077"/>
    <w:rsid w:val="00B61011"/>
    <w:rsid w:val="00B8087E"/>
    <w:rsid w:val="00B873C9"/>
    <w:rsid w:val="00B949D5"/>
    <w:rsid w:val="00B9755E"/>
    <w:rsid w:val="00BB646E"/>
    <w:rsid w:val="00BC7A45"/>
    <w:rsid w:val="00BD1BA1"/>
    <w:rsid w:val="00C015BB"/>
    <w:rsid w:val="00C019E5"/>
    <w:rsid w:val="00C07C25"/>
    <w:rsid w:val="00C12F03"/>
    <w:rsid w:val="00C31201"/>
    <w:rsid w:val="00C35BC4"/>
    <w:rsid w:val="00C43F5B"/>
    <w:rsid w:val="00C54CBE"/>
    <w:rsid w:val="00C5761C"/>
    <w:rsid w:val="00C70277"/>
    <w:rsid w:val="00C95778"/>
    <w:rsid w:val="00C96BDC"/>
    <w:rsid w:val="00C97CFB"/>
    <w:rsid w:val="00CB4371"/>
    <w:rsid w:val="00CC516D"/>
    <w:rsid w:val="00CD75A3"/>
    <w:rsid w:val="00D01EB3"/>
    <w:rsid w:val="00D22905"/>
    <w:rsid w:val="00D238E2"/>
    <w:rsid w:val="00D24330"/>
    <w:rsid w:val="00D363BC"/>
    <w:rsid w:val="00D40056"/>
    <w:rsid w:val="00D51E7C"/>
    <w:rsid w:val="00D54F29"/>
    <w:rsid w:val="00D63AB4"/>
    <w:rsid w:val="00D7020C"/>
    <w:rsid w:val="00D70AD9"/>
    <w:rsid w:val="00D72152"/>
    <w:rsid w:val="00D90AD4"/>
    <w:rsid w:val="00D94BA5"/>
    <w:rsid w:val="00D9510F"/>
    <w:rsid w:val="00DA615C"/>
    <w:rsid w:val="00DB50D3"/>
    <w:rsid w:val="00DD1BC6"/>
    <w:rsid w:val="00DD2B4B"/>
    <w:rsid w:val="00DE23B2"/>
    <w:rsid w:val="00DE5DC3"/>
    <w:rsid w:val="00DE6489"/>
    <w:rsid w:val="00DF229A"/>
    <w:rsid w:val="00DF7E19"/>
    <w:rsid w:val="00E00D8A"/>
    <w:rsid w:val="00E1050F"/>
    <w:rsid w:val="00E11604"/>
    <w:rsid w:val="00E11D92"/>
    <w:rsid w:val="00E130A0"/>
    <w:rsid w:val="00E210C4"/>
    <w:rsid w:val="00E23DB7"/>
    <w:rsid w:val="00E46D96"/>
    <w:rsid w:val="00E47633"/>
    <w:rsid w:val="00E50D2C"/>
    <w:rsid w:val="00E50E14"/>
    <w:rsid w:val="00E52CCA"/>
    <w:rsid w:val="00E6167A"/>
    <w:rsid w:val="00E66409"/>
    <w:rsid w:val="00E732A4"/>
    <w:rsid w:val="00E777DA"/>
    <w:rsid w:val="00E81D5B"/>
    <w:rsid w:val="00E879E2"/>
    <w:rsid w:val="00E976B9"/>
    <w:rsid w:val="00EA05D3"/>
    <w:rsid w:val="00EB19AD"/>
    <w:rsid w:val="00EB2F31"/>
    <w:rsid w:val="00EB6493"/>
    <w:rsid w:val="00EC2915"/>
    <w:rsid w:val="00ED05A9"/>
    <w:rsid w:val="00ED1BA0"/>
    <w:rsid w:val="00EE2CA0"/>
    <w:rsid w:val="00F0514F"/>
    <w:rsid w:val="00F14F97"/>
    <w:rsid w:val="00F17257"/>
    <w:rsid w:val="00F2744F"/>
    <w:rsid w:val="00F34D24"/>
    <w:rsid w:val="00F358D8"/>
    <w:rsid w:val="00F36079"/>
    <w:rsid w:val="00F37250"/>
    <w:rsid w:val="00F4130B"/>
    <w:rsid w:val="00F432BC"/>
    <w:rsid w:val="00F556A2"/>
    <w:rsid w:val="00F57AAA"/>
    <w:rsid w:val="00F64A55"/>
    <w:rsid w:val="00F719A8"/>
    <w:rsid w:val="00F753FD"/>
    <w:rsid w:val="00F81EB6"/>
    <w:rsid w:val="00F87828"/>
    <w:rsid w:val="00F878B9"/>
    <w:rsid w:val="00FA276A"/>
    <w:rsid w:val="00FB24E8"/>
    <w:rsid w:val="00FB3B2B"/>
    <w:rsid w:val="00FC18DA"/>
    <w:rsid w:val="00FC3917"/>
    <w:rsid w:val="00FD60DA"/>
    <w:rsid w:val="00FD6D91"/>
    <w:rsid w:val="00FF07B4"/>
    <w:rsid w:val="010532BB"/>
    <w:rsid w:val="01F63FA6"/>
    <w:rsid w:val="032EDB7F"/>
    <w:rsid w:val="0440B5BB"/>
    <w:rsid w:val="04C27F95"/>
    <w:rsid w:val="04F32402"/>
    <w:rsid w:val="06A447AC"/>
    <w:rsid w:val="06A66FB3"/>
    <w:rsid w:val="06AB12DF"/>
    <w:rsid w:val="0723B3B1"/>
    <w:rsid w:val="073C3D54"/>
    <w:rsid w:val="07D62872"/>
    <w:rsid w:val="08F34447"/>
    <w:rsid w:val="0ADF571A"/>
    <w:rsid w:val="0BBDBF18"/>
    <w:rsid w:val="0C7B277B"/>
    <w:rsid w:val="0D05B333"/>
    <w:rsid w:val="0D1BC686"/>
    <w:rsid w:val="0DF2B433"/>
    <w:rsid w:val="0FC71BD6"/>
    <w:rsid w:val="10C844EF"/>
    <w:rsid w:val="117CA1E0"/>
    <w:rsid w:val="120F7024"/>
    <w:rsid w:val="16D32F36"/>
    <w:rsid w:val="182ADDCC"/>
    <w:rsid w:val="1A83F74C"/>
    <w:rsid w:val="1B6CE760"/>
    <w:rsid w:val="1BFCB3F6"/>
    <w:rsid w:val="1BFE7594"/>
    <w:rsid w:val="1D26D924"/>
    <w:rsid w:val="1EA3B222"/>
    <w:rsid w:val="1ED42A89"/>
    <w:rsid w:val="1ED61D12"/>
    <w:rsid w:val="2018EF4F"/>
    <w:rsid w:val="2069F620"/>
    <w:rsid w:val="2350B763"/>
    <w:rsid w:val="26891568"/>
    <w:rsid w:val="26A4647F"/>
    <w:rsid w:val="28237879"/>
    <w:rsid w:val="2838A89E"/>
    <w:rsid w:val="2938348D"/>
    <w:rsid w:val="2B18B1BB"/>
    <w:rsid w:val="2D054234"/>
    <w:rsid w:val="2DC215AF"/>
    <w:rsid w:val="2E0D0597"/>
    <w:rsid w:val="2EC2C426"/>
    <w:rsid w:val="2F513036"/>
    <w:rsid w:val="2FBE2941"/>
    <w:rsid w:val="2FCAE12F"/>
    <w:rsid w:val="2FCFCE9F"/>
    <w:rsid w:val="301AE6CC"/>
    <w:rsid w:val="322ED1C1"/>
    <w:rsid w:val="323C526B"/>
    <w:rsid w:val="326A885C"/>
    <w:rsid w:val="3338BD4A"/>
    <w:rsid w:val="349D4361"/>
    <w:rsid w:val="35492293"/>
    <w:rsid w:val="37C93B26"/>
    <w:rsid w:val="38462ECC"/>
    <w:rsid w:val="384CB483"/>
    <w:rsid w:val="38B44725"/>
    <w:rsid w:val="38DB05F6"/>
    <w:rsid w:val="39BC4447"/>
    <w:rsid w:val="3A154CB6"/>
    <w:rsid w:val="3A861F43"/>
    <w:rsid w:val="3ACA1409"/>
    <w:rsid w:val="3AD1D637"/>
    <w:rsid w:val="3B46F8D5"/>
    <w:rsid w:val="3C1032B8"/>
    <w:rsid w:val="3C8ED64C"/>
    <w:rsid w:val="3CCCEFD5"/>
    <w:rsid w:val="3E65265A"/>
    <w:rsid w:val="43312A63"/>
    <w:rsid w:val="446AE8F4"/>
    <w:rsid w:val="456D057B"/>
    <w:rsid w:val="45B8B750"/>
    <w:rsid w:val="45E12285"/>
    <w:rsid w:val="46C8F153"/>
    <w:rsid w:val="478E193B"/>
    <w:rsid w:val="47AC6EAC"/>
    <w:rsid w:val="49AB2646"/>
    <w:rsid w:val="49DA5597"/>
    <w:rsid w:val="49F4C214"/>
    <w:rsid w:val="4A4A2234"/>
    <w:rsid w:val="4A62A449"/>
    <w:rsid w:val="4B9FFC4C"/>
    <w:rsid w:val="4CA1953C"/>
    <w:rsid w:val="4D2569AC"/>
    <w:rsid w:val="4D9665ED"/>
    <w:rsid w:val="4DB6B55B"/>
    <w:rsid w:val="4F464E60"/>
    <w:rsid w:val="50EEAB7A"/>
    <w:rsid w:val="51B98C7D"/>
    <w:rsid w:val="52A470FA"/>
    <w:rsid w:val="531F159E"/>
    <w:rsid w:val="5323C210"/>
    <w:rsid w:val="54504E3E"/>
    <w:rsid w:val="5475B932"/>
    <w:rsid w:val="54E186B6"/>
    <w:rsid w:val="5612D44B"/>
    <w:rsid w:val="56D6EC12"/>
    <w:rsid w:val="56ECCAC3"/>
    <w:rsid w:val="571B2492"/>
    <w:rsid w:val="5835E1B1"/>
    <w:rsid w:val="583F9F98"/>
    <w:rsid w:val="5956102D"/>
    <w:rsid w:val="5B46E92C"/>
    <w:rsid w:val="5B511C42"/>
    <w:rsid w:val="5BC7EF1C"/>
    <w:rsid w:val="5C66E458"/>
    <w:rsid w:val="5CF296E7"/>
    <w:rsid w:val="5D790FBA"/>
    <w:rsid w:val="5DBE8070"/>
    <w:rsid w:val="5E02B4B9"/>
    <w:rsid w:val="5F06B4D2"/>
    <w:rsid w:val="5F263677"/>
    <w:rsid w:val="5F9E851A"/>
    <w:rsid w:val="60EA7CA9"/>
    <w:rsid w:val="61A07682"/>
    <w:rsid w:val="6361940B"/>
    <w:rsid w:val="63656228"/>
    <w:rsid w:val="640C4F0D"/>
    <w:rsid w:val="648E71C4"/>
    <w:rsid w:val="660DC69E"/>
    <w:rsid w:val="673935E2"/>
    <w:rsid w:val="6816623B"/>
    <w:rsid w:val="69D32055"/>
    <w:rsid w:val="6A70D6A4"/>
    <w:rsid w:val="6B1031B0"/>
    <w:rsid w:val="6C908BED"/>
    <w:rsid w:val="6CC75BE6"/>
    <w:rsid w:val="6E30D52D"/>
    <w:rsid w:val="6F138A50"/>
    <w:rsid w:val="6F4447C7"/>
    <w:rsid w:val="7028A0C4"/>
    <w:rsid w:val="727BE889"/>
    <w:rsid w:val="72D7AA92"/>
    <w:rsid w:val="73227C13"/>
    <w:rsid w:val="7377E04B"/>
    <w:rsid w:val="7396F25D"/>
    <w:rsid w:val="73C6E43C"/>
    <w:rsid w:val="73EEE614"/>
    <w:rsid w:val="74A2F6B9"/>
    <w:rsid w:val="74EC89F6"/>
    <w:rsid w:val="7513B0AC"/>
    <w:rsid w:val="75943806"/>
    <w:rsid w:val="7671AD6E"/>
    <w:rsid w:val="76744AC4"/>
    <w:rsid w:val="76AF810D"/>
    <w:rsid w:val="7724090F"/>
    <w:rsid w:val="7777CF7D"/>
    <w:rsid w:val="77F92A0A"/>
    <w:rsid w:val="782DC956"/>
    <w:rsid w:val="7A8CAAC8"/>
    <w:rsid w:val="7AAF703F"/>
    <w:rsid w:val="7AC145C9"/>
    <w:rsid w:val="7B706784"/>
    <w:rsid w:val="7C649AD3"/>
    <w:rsid w:val="7D6DC682"/>
    <w:rsid w:val="7F0982D4"/>
    <w:rsid w:val="7F2FF0EB"/>
    <w:rsid w:val="7FAB7C9F"/>
    <w:rsid w:val="7FE0B8B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E0644CCB-A7F6-47B8-BE59-BC8C8526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Ttulo1">
    <w:name w:val="heading 1"/>
    <w:basedOn w:val="Normal"/>
    <w:next w:val="Normal"/>
    <w:link w:val="Ttulo1C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Textodeglobo">
    <w:name w:val="Balloon Text"/>
    <w:basedOn w:val="Normal"/>
    <w:link w:val="TextodegloboCar"/>
    <w:uiPriority w:val="99"/>
    <w:semiHidden/>
    <w:unhideWhenUsed/>
    <w:rsid w:val="00D70A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0AD9"/>
    <w:rPr>
      <w:rFonts w:ascii="Tahoma" w:hAnsi="Tahoma" w:cs="Tahoma"/>
      <w:sz w:val="16"/>
      <w:szCs w:val="16"/>
    </w:rPr>
  </w:style>
  <w:style w:type="character" w:styleId="Refdecomentario">
    <w:name w:val="annotation reference"/>
    <w:basedOn w:val="Fuentedeprrafopredeter"/>
    <w:uiPriority w:val="99"/>
    <w:semiHidden/>
    <w:unhideWhenUsed/>
    <w:rsid w:val="00A61D74"/>
    <w:rPr>
      <w:sz w:val="16"/>
      <w:szCs w:val="16"/>
    </w:rPr>
  </w:style>
  <w:style w:type="paragraph" w:styleId="Textocomentario">
    <w:name w:val="annotation text"/>
    <w:basedOn w:val="Normal"/>
    <w:link w:val="TextocomentarioCar"/>
    <w:uiPriority w:val="99"/>
    <w:unhideWhenUsed/>
    <w:rsid w:val="00A61D74"/>
    <w:pPr>
      <w:spacing w:line="240" w:lineRule="auto"/>
    </w:pPr>
    <w:rPr>
      <w:sz w:val="20"/>
      <w:szCs w:val="20"/>
    </w:rPr>
  </w:style>
  <w:style w:type="character" w:customStyle="1" w:styleId="TextocomentarioCar">
    <w:name w:val="Texto comentario Car"/>
    <w:basedOn w:val="Fuentedeprrafopredeter"/>
    <w:link w:val="Textocomentario"/>
    <w:uiPriority w:val="99"/>
    <w:rsid w:val="00A61D74"/>
    <w:rPr>
      <w:sz w:val="20"/>
      <w:szCs w:val="20"/>
    </w:rPr>
  </w:style>
  <w:style w:type="paragraph" w:styleId="Asuntodelcomentario">
    <w:name w:val="annotation subject"/>
    <w:basedOn w:val="Textocomentario"/>
    <w:next w:val="Textocomentario"/>
    <w:link w:val="AsuntodelcomentarioCar"/>
    <w:uiPriority w:val="99"/>
    <w:semiHidden/>
    <w:unhideWhenUsed/>
    <w:rsid w:val="00A61D74"/>
    <w:rPr>
      <w:b/>
      <w:bCs/>
    </w:rPr>
  </w:style>
  <w:style w:type="character" w:customStyle="1" w:styleId="AsuntodelcomentarioCar">
    <w:name w:val="Asunto del comentario Car"/>
    <w:basedOn w:val="TextocomentarioCar"/>
    <w:link w:val="Asuntodelcomentario"/>
    <w:uiPriority w:val="99"/>
    <w:semiHidden/>
    <w:rsid w:val="00A61D74"/>
    <w:rPr>
      <w:b/>
      <w:bCs/>
      <w:sz w:val="20"/>
      <w:szCs w:val="20"/>
    </w:rPr>
  </w:style>
  <w:style w:type="paragraph" w:styleId="Prrafodelista">
    <w:name w:val="List Paragraph"/>
    <w:basedOn w:val="Normal"/>
    <w:uiPriority w:val="34"/>
    <w:qFormat/>
    <w:rsid w:val="00A61D74"/>
    <w:pPr>
      <w:ind w:left="720"/>
      <w:contextualSpacing/>
    </w:pPr>
  </w:style>
  <w:style w:type="character" w:styleId="Hipervnculo">
    <w:name w:val="Hyperlink"/>
    <w:basedOn w:val="Fuentedeprrafopredeter"/>
    <w:uiPriority w:val="99"/>
    <w:unhideWhenUsed/>
    <w:rsid w:val="00621893"/>
    <w:rPr>
      <w:color w:val="0000FF" w:themeColor="hyperlink"/>
      <w:u w:val="single"/>
    </w:rPr>
  </w:style>
  <w:style w:type="paragraph" w:styleId="Encabezado">
    <w:name w:val="header"/>
    <w:basedOn w:val="Normal"/>
    <w:link w:val="EncabezadoCar"/>
    <w:uiPriority w:val="99"/>
    <w:unhideWhenUsed/>
    <w:rsid w:val="00573C0B"/>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573C0B"/>
  </w:style>
  <w:style w:type="paragraph" w:styleId="Piedepgina">
    <w:name w:val="footer"/>
    <w:basedOn w:val="Normal"/>
    <w:link w:val="PiedepginaCar"/>
    <w:uiPriority w:val="99"/>
    <w:unhideWhenUsed/>
    <w:rsid w:val="00573C0B"/>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Fuentedeprrafopredeter"/>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Fuentedeprrafopredeter"/>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Fuentedeprrafopredeter"/>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Fuentedeprrafopredeter"/>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Fuentedeprrafopredeter"/>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Fuentedeprrafopredeter"/>
    <w:uiPriority w:val="99"/>
    <w:semiHidden/>
    <w:unhideWhenUsed/>
    <w:rsid w:val="00B329B0"/>
    <w:rPr>
      <w:color w:val="808080"/>
      <w:shd w:val="clear" w:color="auto" w:fill="E6E6E6"/>
    </w:rPr>
  </w:style>
  <w:style w:type="character" w:styleId="Textodelmarcadordeposicin">
    <w:name w:val="Placeholder Text"/>
    <w:basedOn w:val="Fuentedeprrafopredeter"/>
    <w:uiPriority w:val="99"/>
    <w:semiHidden/>
    <w:rsid w:val="00B329B0"/>
    <w:rPr>
      <w:color w:val="808080"/>
    </w:rPr>
  </w:style>
  <w:style w:type="table" w:styleId="Tablaconcuadrcula">
    <w:name w:val="Table Grid"/>
    <w:basedOn w:val="Tabla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A96255"/>
    <w:pPr>
      <w:spacing w:after="0" w:line="240" w:lineRule="auto"/>
    </w:pPr>
    <w:rPr>
      <w:rFonts w:eastAsiaTheme="minorHAnsi"/>
      <w:sz w:val="20"/>
      <w:szCs w:val="20"/>
      <w:lang w:val="en-US" w:eastAsia="en-US"/>
    </w:rPr>
  </w:style>
  <w:style w:type="character" w:customStyle="1" w:styleId="TextonotaalfinalCar">
    <w:name w:val="Texto nota al final Car"/>
    <w:basedOn w:val="Fuentedeprrafopredeter"/>
    <w:link w:val="Textonotaalfinal"/>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Revisin">
    <w:name w:val="Revision"/>
    <w:hidden/>
    <w:uiPriority w:val="99"/>
    <w:semiHidden/>
    <w:rsid w:val="00677A80"/>
    <w:pPr>
      <w:spacing w:after="0" w:line="240" w:lineRule="auto"/>
    </w:pPr>
  </w:style>
  <w:style w:type="character" w:styleId="Mencinsinresolver">
    <w:name w:val="Unresolved Mention"/>
    <w:basedOn w:val="Fuentedeprrafopredeter"/>
    <w:uiPriority w:val="99"/>
    <w:semiHidden/>
    <w:unhideWhenUsed/>
    <w:rsid w:val="00677A80"/>
    <w:rPr>
      <w:color w:val="605E5C"/>
      <w:shd w:val="clear" w:color="auto" w:fill="E1DFDD"/>
    </w:rPr>
  </w:style>
  <w:style w:type="character" w:customStyle="1" w:styleId="ui-provider">
    <w:name w:val="ui-provider"/>
    <w:basedOn w:val="Fuentedeprrafopredeter"/>
    <w:rsid w:val="001B46BB"/>
  </w:style>
  <w:style w:type="paragraph" w:styleId="Textonotapie">
    <w:name w:val="footnote text"/>
    <w:basedOn w:val="Normal"/>
    <w:link w:val="TextonotapieCar"/>
    <w:uiPriority w:val="99"/>
    <w:semiHidden/>
    <w:unhideWhenUsed/>
    <w:rsid w:val="00A65EF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65EFB"/>
    <w:rPr>
      <w:sz w:val="20"/>
      <w:szCs w:val="20"/>
    </w:rPr>
  </w:style>
  <w:style w:type="character" w:styleId="Refdenotaalpie">
    <w:name w:val="footnote reference"/>
    <w:basedOn w:val="Fuentedeprrafopredeter"/>
    <w:uiPriority w:val="99"/>
    <w:semiHidden/>
    <w:unhideWhenUsed/>
    <w:rsid w:val="00A65EFB"/>
    <w:rPr>
      <w:vertAlign w:val="superscript"/>
    </w:rPr>
  </w:style>
  <w:style w:type="character" w:customStyle="1" w:styleId="normaltextrun">
    <w:name w:val="normaltextrun"/>
    <w:basedOn w:val="Fuentedeprrafopredeter"/>
    <w:rsid w:val="00DD2B4B"/>
  </w:style>
  <w:style w:type="character" w:styleId="Hipervnculovisitado">
    <w:name w:val="FollowedHyperlink"/>
    <w:basedOn w:val="Fuentedeprrafopredeter"/>
    <w:uiPriority w:val="99"/>
    <w:semiHidden/>
    <w:unhideWhenUsed/>
    <w:rsid w:val="00DD2B4B"/>
    <w:rPr>
      <w:color w:val="800080" w:themeColor="followedHyperlink"/>
      <w:u w:val="single"/>
    </w:rPr>
  </w:style>
  <w:style w:type="character" w:styleId="Mencionar">
    <w:name w:val="Mention"/>
    <w:basedOn w:val="Fuentedeprrafopredeter"/>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isonstudies.org/" TargetMode="External"/><Relationship Id="rId18" Type="http://schemas.openxmlformats.org/officeDocument/2006/relationships/hyperlink" Target="https://www.unodc.org/unodc/en/data-and-analysis/statistics/iccs.html"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unodc.org/unodc/en/data-and-analysis/United-Nations-Surveys-on-Crime-Trends-and-the-Operations-of-Criminal-Justice-Systems.html" TargetMode="External"/><Relationship Id="rId7" Type="http://schemas.openxmlformats.org/officeDocument/2006/relationships/settings" Target="settings.xml"/><Relationship Id="rId12" Type="http://schemas.openxmlformats.org/officeDocument/2006/relationships/hyperlink" Target="https://www.unodc.org/unodc/en/data-and-analysis/United-Nations-Surveys-on-Crime-Trends-and-the-Operations-of-Criminal-Justice-Systems.html" TargetMode="External"/><Relationship Id="rId17" Type="http://schemas.openxmlformats.org/officeDocument/2006/relationships/hyperlink" Target="https://unstats.un.org/unsd/methodology/m49/"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fit-r.github.io/ts_exp_smoothing" TargetMode="External"/><Relationship Id="rId20" Type="http://schemas.openxmlformats.org/officeDocument/2006/relationships/hyperlink" Target="http://www.unodc.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dc.org/"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undocs.org/en/A/RES/3021(XXVII)" TargetMode="External"/><Relationship Id="rId23" Type="http://schemas.openxmlformats.org/officeDocument/2006/relationships/header" Target="header1.xm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www.unodc.org/unodc/en/about-unodc/sustainable-development-goals/sdgs-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pulation.un.org/wpp" TargetMode="External"/><Relationship Id="rId22" Type="http://schemas.openxmlformats.org/officeDocument/2006/relationships/hyperlink" Target="https://www.unodc.org/unodc/en/data-and-analysis/statistics/iccs.html" TargetMode="External"/><Relationship Id="rId27"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76176846-64B8-49F1-B0BD-A2A2CC377651}">
    <t:Anchor>
      <t:Comment id="1101210106"/>
    </t:Anchor>
    <t:History>
      <t:Event id="{1D706721-8573-44E0-925A-A592BBC3C717}" time="2023-03-03T14:08:43.07Z">
        <t:Attribution userId="S::maurice.dunaiski@un.org::419dd569-cfb1-4da8-9156-94d684bf0879" userProvider="AD" userName="Maurice Rene DUNAISKI"/>
        <t:Anchor>
          <t:Comment id="1101210106"/>
        </t:Anchor>
        <t:Create/>
      </t:Event>
      <t:Event id="{4952BA98-7428-4557-9731-DFA9A4B96B12}" time="2023-03-03T14:08:43.07Z">
        <t:Attribution userId="S::maurice.dunaiski@un.org::419dd569-cfb1-4da8-9156-94d684bf0879" userProvider="AD" userName="Maurice Rene DUNAISKI"/>
        <t:Anchor>
          <t:Comment id="1101210106"/>
        </t:Anchor>
        <t:Assign userId="S::markus.schwabe@un.org::8eb4f0df-3e47-4d4c-8be6-dc5580ef23e6" userProvider="AD" userName="Markus Schwabe"/>
      </t:Event>
      <t:Event id="{614C6306-0319-44AD-A81D-5E953FE14D76}" time="2023-03-03T14:08:43.07Z">
        <t:Attribution userId="S::maurice.dunaiski@un.org::419dd569-cfb1-4da8-9156-94d684bf0879" userProvider="AD" userName="Maurice Rene DUNAISKI"/>
        <t:Anchor>
          <t:Comment id="1101210106"/>
        </t:Anchor>
        <t:SetTitle title="@Markus Schwabe as discussed I would elaborate on this point in 1-2 additional sentences, as the CTS definition is a bit vague. Basically you want to drive home the point that for the purposes of international comparability we are actually interested …"/>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8F8D0328-2F44-4F63-A648-0DC79814627B}"/>
      </w:docPartPr>
      <w:docPartBody>
        <w:p w:rsidR="00277462" w:rsidRDefault="00277462">
          <w:r w:rsidRPr="00701CD8">
            <w:rPr>
              <w:rStyle w:val="Textodelmarcadordeposicin"/>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462"/>
    <w:rsid w:val="0001692F"/>
    <w:rsid w:val="00277462"/>
    <w:rsid w:val="00567B41"/>
    <w:rsid w:val="00573645"/>
    <w:rsid w:val="005B438D"/>
    <w:rsid w:val="00DB19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7746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38fcefc-45f0-4567-a27d-d808176318a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525274495DEBB43B04BB9723265C9C0" ma:contentTypeVersion="12" ma:contentTypeDescription="Create a new document." ma:contentTypeScope="" ma:versionID="c3c42e10cdaccbce338c0b297be6e22d">
  <xsd:schema xmlns:xsd="http://www.w3.org/2001/XMLSchema" xmlns:xs="http://www.w3.org/2001/XMLSchema" xmlns:p="http://schemas.microsoft.com/office/2006/metadata/properties" xmlns:ns3="538fcefc-45f0-4567-a27d-d808176318a1" targetNamespace="http://schemas.microsoft.com/office/2006/metadata/properties" ma:root="true" ma:fieldsID="bd8d8bcd584667a2951492e328082d2f" ns3:_="">
    <xsd:import namespace="538fcefc-45f0-4567-a27d-d808176318a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_activity"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fcefc-45f0-4567-a27d-d808176318a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76597A22-7BCB-4E17-AD05-698BA4F6D47D}">
  <ds:schemaRefs>
    <ds:schemaRef ds:uri="http://schemas.openxmlformats.org/package/2006/metadata/core-properties"/>
    <ds:schemaRef ds:uri="http://purl.org/dc/terms/"/>
    <ds:schemaRef ds:uri="http://www.w3.org/XML/1998/namespace"/>
    <ds:schemaRef ds:uri="538fcefc-45f0-4567-a27d-d808176318a1"/>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530E209-6C41-4E20-852A-92A3B892DC5C}">
  <ds:schemaRefs>
    <ds:schemaRef ds:uri="http://schemas.openxmlformats.org/officeDocument/2006/bibliography"/>
  </ds:schemaRefs>
</ds:datastoreItem>
</file>

<file path=customXml/itemProps4.xml><?xml version="1.0" encoding="utf-8"?>
<ds:datastoreItem xmlns:ds="http://schemas.openxmlformats.org/officeDocument/2006/customXml" ds:itemID="{10E9C0C7-E6FD-4F84-845A-036E10120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fcefc-45f0-4567-a27d-d808176318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2809</Words>
  <Characters>15453</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United Nations</Company>
  <LinksUpToDate>false</LinksUpToDate>
  <CharactersWithSpaces>18226</CharactersWithSpaces>
  <SharedDoc>false</SharedDoc>
  <HLinks>
    <vt:vector size="90" baseType="variant">
      <vt:variant>
        <vt:i4>1048577</vt:i4>
      </vt:variant>
      <vt:variant>
        <vt:i4>54</vt:i4>
      </vt:variant>
      <vt:variant>
        <vt:i4>0</vt:i4>
      </vt:variant>
      <vt:variant>
        <vt:i4>5</vt:i4>
      </vt:variant>
      <vt:variant>
        <vt:lpwstr>https://www.unodc.org/documents/nigeria/publications/Otherpublications/UNODCUNICEF_Manual_for_the_Measurement_of_juvenile_justice_indicators1.pdf</vt:lpwstr>
      </vt:variant>
      <vt:variant>
        <vt:lpwstr/>
      </vt:variant>
      <vt:variant>
        <vt:i4>8126468</vt:i4>
      </vt:variant>
      <vt:variant>
        <vt:i4>51</vt:i4>
      </vt:variant>
      <vt:variant>
        <vt:i4>0</vt:i4>
      </vt:variant>
      <vt:variant>
        <vt:i4>5</vt:i4>
      </vt:variant>
      <vt:variant>
        <vt:lpwstr>https://unstats.un.org/unsd/demographic-social/Standards-and-Methods/files/Handbooks/crime/seriesf_89-E.pdf</vt:lpwstr>
      </vt:variant>
      <vt:variant>
        <vt:lpwstr/>
      </vt:variant>
      <vt:variant>
        <vt:i4>5242881</vt:i4>
      </vt:variant>
      <vt:variant>
        <vt:i4>45</vt:i4>
      </vt:variant>
      <vt:variant>
        <vt:i4>0</vt:i4>
      </vt:variant>
      <vt:variant>
        <vt:i4>5</vt:i4>
      </vt:variant>
      <vt:variant>
        <vt:lpwstr>https://www.unodc.org/unodc/en/data-and-analysis/statistics/iccs.html</vt:lpwstr>
      </vt:variant>
      <vt:variant>
        <vt:lpwstr/>
      </vt:variant>
      <vt:variant>
        <vt:i4>2228257</vt:i4>
      </vt:variant>
      <vt:variant>
        <vt:i4>39</vt:i4>
      </vt:variant>
      <vt:variant>
        <vt:i4>0</vt:i4>
      </vt:variant>
      <vt:variant>
        <vt:i4>5</vt:i4>
      </vt:variant>
      <vt:variant>
        <vt:lpwstr>https://www.unodc.org/unodc/en/data-and-analysis/United-Nations-Surveys-on-Crime-Trends-and-the-Operations-of-Criminal-Justice-Systems.html</vt:lpwstr>
      </vt:variant>
      <vt:variant>
        <vt:lpwstr/>
      </vt:variant>
      <vt:variant>
        <vt:i4>5898246</vt:i4>
      </vt:variant>
      <vt:variant>
        <vt:i4>36</vt:i4>
      </vt:variant>
      <vt:variant>
        <vt:i4>0</vt:i4>
      </vt:variant>
      <vt:variant>
        <vt:i4>5</vt:i4>
      </vt:variant>
      <vt:variant>
        <vt:lpwstr>http://www.unodc.org/</vt:lpwstr>
      </vt:variant>
      <vt:variant>
        <vt:lpwstr/>
      </vt:variant>
      <vt:variant>
        <vt:i4>3407979</vt:i4>
      </vt:variant>
      <vt:variant>
        <vt:i4>30</vt:i4>
      </vt:variant>
      <vt:variant>
        <vt:i4>0</vt:i4>
      </vt:variant>
      <vt:variant>
        <vt:i4>5</vt:i4>
      </vt:variant>
      <vt:variant>
        <vt:lpwstr>http://www.unodc.org/unodc/en/about-unodc/sustainable-development-goals/sdgs-index.html</vt:lpwstr>
      </vt:variant>
      <vt:variant>
        <vt:lpwstr/>
      </vt:variant>
      <vt:variant>
        <vt:i4>5242881</vt:i4>
      </vt:variant>
      <vt:variant>
        <vt:i4>24</vt:i4>
      </vt:variant>
      <vt:variant>
        <vt:i4>0</vt:i4>
      </vt:variant>
      <vt:variant>
        <vt:i4>5</vt:i4>
      </vt:variant>
      <vt:variant>
        <vt:lpwstr>https://www.unodc.org/unodc/en/data-and-analysis/statistics/iccs.html</vt:lpwstr>
      </vt:variant>
      <vt:variant>
        <vt:lpwstr/>
      </vt:variant>
      <vt:variant>
        <vt:i4>4718595</vt:i4>
      </vt:variant>
      <vt:variant>
        <vt:i4>21</vt:i4>
      </vt:variant>
      <vt:variant>
        <vt:i4>0</vt:i4>
      </vt:variant>
      <vt:variant>
        <vt:i4>5</vt:i4>
      </vt:variant>
      <vt:variant>
        <vt:lpwstr>https://unstats.un.org/unsd/methodology/m49/</vt:lpwstr>
      </vt:variant>
      <vt:variant>
        <vt:lpwstr/>
      </vt:variant>
      <vt:variant>
        <vt:i4>6160393</vt:i4>
      </vt:variant>
      <vt:variant>
        <vt:i4>18</vt:i4>
      </vt:variant>
      <vt:variant>
        <vt:i4>0</vt:i4>
      </vt:variant>
      <vt:variant>
        <vt:i4>5</vt:i4>
      </vt:variant>
      <vt:variant>
        <vt:lpwstr>https://afit-r.github.io/ts_exp_smoothing</vt:lpwstr>
      </vt:variant>
      <vt:variant>
        <vt:lpwstr/>
      </vt:variant>
      <vt:variant>
        <vt:i4>2228343</vt:i4>
      </vt:variant>
      <vt:variant>
        <vt:i4>15</vt:i4>
      </vt:variant>
      <vt:variant>
        <vt:i4>0</vt:i4>
      </vt:variant>
      <vt:variant>
        <vt:i4>5</vt:i4>
      </vt:variant>
      <vt:variant>
        <vt:lpwstr>https://undocs.org/en/A/RES/3021(XXVII)</vt:lpwstr>
      </vt:variant>
      <vt:variant>
        <vt:lpwstr/>
      </vt:variant>
      <vt:variant>
        <vt:i4>2162722</vt:i4>
      </vt:variant>
      <vt:variant>
        <vt:i4>12</vt:i4>
      </vt:variant>
      <vt:variant>
        <vt:i4>0</vt:i4>
      </vt:variant>
      <vt:variant>
        <vt:i4>5</vt:i4>
      </vt:variant>
      <vt:variant>
        <vt:lpwstr>https://www.prisonstudies.org/</vt:lpwstr>
      </vt:variant>
      <vt:variant>
        <vt:lpwstr/>
      </vt:variant>
      <vt:variant>
        <vt:i4>1769480</vt:i4>
      </vt:variant>
      <vt:variant>
        <vt:i4>9</vt:i4>
      </vt:variant>
      <vt:variant>
        <vt:i4>0</vt:i4>
      </vt:variant>
      <vt:variant>
        <vt:i4>5</vt:i4>
      </vt:variant>
      <vt:variant>
        <vt:lpwstr>https://population.un.org/wpp</vt:lpwstr>
      </vt:variant>
      <vt:variant>
        <vt:lpwstr/>
      </vt:variant>
      <vt:variant>
        <vt:i4>7864354</vt:i4>
      </vt:variant>
      <vt:variant>
        <vt:i4>6</vt:i4>
      </vt:variant>
      <vt:variant>
        <vt:i4>0</vt:i4>
      </vt:variant>
      <vt:variant>
        <vt:i4>5</vt:i4>
      </vt:variant>
      <vt:variant>
        <vt:lpwstr>https://prisonstudies.org/</vt:lpwstr>
      </vt:variant>
      <vt:variant>
        <vt:lpwstr/>
      </vt:variant>
      <vt:variant>
        <vt:i4>2228257</vt:i4>
      </vt:variant>
      <vt:variant>
        <vt:i4>3</vt:i4>
      </vt:variant>
      <vt:variant>
        <vt:i4>0</vt:i4>
      </vt:variant>
      <vt:variant>
        <vt:i4>5</vt:i4>
      </vt:variant>
      <vt:variant>
        <vt:lpwstr>https://www.unodc.org/unodc/en/data-and-analysis/United-Nations-Surveys-on-Crime-Trends-and-the-Operations-of-Criminal-Justice-Systems.html</vt:lpwstr>
      </vt:variant>
      <vt:variant>
        <vt:lpwstr/>
      </vt:variant>
      <vt:variant>
        <vt:i4>3211313</vt:i4>
      </vt:variant>
      <vt:variant>
        <vt:i4>0</vt:i4>
      </vt:variant>
      <vt:variant>
        <vt:i4>0</vt:i4>
      </vt:variant>
      <vt:variant>
        <vt:i4>5</vt:i4>
      </vt:variant>
      <vt:variant>
        <vt:lpwstr>https://www.unodc.org/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 Lin</dc:creator>
  <cp:keywords/>
  <cp:lastModifiedBy>Justo Rojas Lopez</cp:lastModifiedBy>
  <cp:revision>2</cp:revision>
  <cp:lastPrinted>2016-07-16T23:25:00Z</cp:lastPrinted>
  <dcterms:created xsi:type="dcterms:W3CDTF">2025-05-26T21:37:00Z</dcterms:created>
  <dcterms:modified xsi:type="dcterms:W3CDTF">2025-05-26T21:37:00Z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0x010100B525274495DEBB43B04BB9723265C9C0</vt:lpwstr>
  </property>
  <property fmtid="{D5CDD505-2E9C-101B-9397-08002B2CF9AE}" pid="3" name="MediaServiceImageTags">
    <vt:lpwstr/>
  </property>
</Properties>
</file>